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2500" w14:textId="77777777" w:rsidR="00645267" w:rsidRPr="0015176D" w:rsidRDefault="00645267" w:rsidP="00645267">
      <w:pPr>
        <w:pStyle w:val="NoSpacing"/>
        <w:jc w:val="center"/>
        <w:rPr>
          <w:b/>
          <w:bCs/>
          <w:sz w:val="18"/>
          <w:szCs w:val="18"/>
        </w:rPr>
      </w:pPr>
      <w:r w:rsidRPr="0015176D">
        <w:rPr>
          <w:b/>
          <w:bCs/>
          <w:sz w:val="18"/>
          <w:szCs w:val="18"/>
        </w:rPr>
        <w:t>Applied Economic Exercise</w:t>
      </w:r>
    </w:p>
    <w:p w14:paraId="6CEE5F84" w14:textId="77777777" w:rsidR="00645267" w:rsidRPr="0015176D" w:rsidRDefault="00645267" w:rsidP="00645267">
      <w:pPr>
        <w:pStyle w:val="NoSpacing"/>
        <w:jc w:val="center"/>
        <w:rPr>
          <w:rFonts w:cstheme="minorHAnsi"/>
          <w:b/>
          <w:bCs/>
          <w:sz w:val="18"/>
          <w:szCs w:val="18"/>
        </w:rPr>
      </w:pPr>
      <w:r w:rsidRPr="0015176D">
        <w:rPr>
          <w:rFonts w:cstheme="minorHAnsi"/>
          <w:b/>
          <w:bCs/>
          <w:sz w:val="18"/>
          <w:szCs w:val="18"/>
        </w:rPr>
        <w:t xml:space="preserve">Read </w:t>
      </w:r>
      <w:bookmarkStart w:id="0" w:name="_Hlk65661862"/>
      <w:r w:rsidRPr="0015176D">
        <w:rPr>
          <w:rFonts w:cstheme="minorHAnsi"/>
          <w:b/>
          <w:bCs/>
          <w:sz w:val="18"/>
          <w:szCs w:val="18"/>
        </w:rPr>
        <w:t>the edited Statement by Philip Lowe, Governor: Monetary Policy Decision (</w:t>
      </w:r>
      <w:r>
        <w:rPr>
          <w:rFonts w:cstheme="minorHAnsi"/>
          <w:b/>
          <w:bCs/>
          <w:sz w:val="18"/>
          <w:szCs w:val="18"/>
        </w:rPr>
        <w:t>June</w:t>
      </w:r>
      <w:r w:rsidRPr="0015176D">
        <w:rPr>
          <w:rFonts w:cstheme="minorHAnsi"/>
          <w:b/>
          <w:bCs/>
          <w:sz w:val="18"/>
          <w:szCs w:val="18"/>
        </w:rPr>
        <w:t xml:space="preserve"> 2021) </w:t>
      </w:r>
      <w:bookmarkEnd w:id="0"/>
      <w:r w:rsidRPr="0015176D">
        <w:rPr>
          <w:rFonts w:cstheme="minorHAnsi"/>
          <w:b/>
          <w:bCs/>
          <w:sz w:val="18"/>
          <w:szCs w:val="18"/>
        </w:rPr>
        <w:t>and answer the questions that follow.</w:t>
      </w:r>
    </w:p>
    <w:p w14:paraId="0FD34816" w14:textId="77777777" w:rsidR="00645267" w:rsidRPr="0015176D" w:rsidRDefault="00645267" w:rsidP="00645267">
      <w:pPr>
        <w:pStyle w:val="NoSpacing"/>
        <w:jc w:val="center"/>
        <w:rPr>
          <w:rFonts w:cstheme="minorHAnsi"/>
          <w:b/>
          <w:bCs/>
          <w:sz w:val="18"/>
          <w:szCs w:val="18"/>
        </w:rPr>
      </w:pPr>
      <w:r w:rsidRPr="0015176D">
        <w:rPr>
          <w:rFonts w:cstheme="minorHAnsi"/>
          <w:b/>
          <w:bCs/>
          <w:sz w:val="18"/>
          <w:szCs w:val="18"/>
        </w:rPr>
        <w:t xml:space="preserve">The full statement can be accessed here: </w:t>
      </w:r>
      <w:proofErr w:type="gramStart"/>
      <w:r w:rsidRPr="005B5305">
        <w:rPr>
          <w:rFonts w:cstheme="minorHAnsi"/>
          <w:sz w:val="18"/>
          <w:szCs w:val="18"/>
        </w:rPr>
        <w:t>https://www.rba.gov.au/media-releases/2021/mr-21-09.html</w:t>
      </w:r>
      <w:proofErr w:type="gramEnd"/>
    </w:p>
    <w:p w14:paraId="378134A8" w14:textId="77777777" w:rsidR="00645267" w:rsidRDefault="00645267" w:rsidP="00645267">
      <w:pPr>
        <w:pStyle w:val="NoSpacing"/>
        <w:jc w:val="both"/>
        <w:rPr>
          <w:rFonts w:eastAsia="Times New Roman" w:cstheme="minorHAnsi"/>
          <w:color w:val="000000"/>
          <w:sz w:val="18"/>
          <w:szCs w:val="18"/>
        </w:rPr>
      </w:pPr>
    </w:p>
    <w:p w14:paraId="72CDE180" w14:textId="77777777" w:rsidR="00645267" w:rsidRPr="005B5305" w:rsidRDefault="00645267" w:rsidP="00645267">
      <w:pPr>
        <w:pStyle w:val="NoSpacing"/>
        <w:jc w:val="both"/>
        <w:rPr>
          <w:rFonts w:eastAsia="Times New Roman" w:cstheme="minorHAnsi"/>
          <w:color w:val="000000"/>
          <w:sz w:val="18"/>
          <w:szCs w:val="18"/>
        </w:rPr>
      </w:pPr>
      <w:r w:rsidRPr="005B5305">
        <w:rPr>
          <w:rFonts w:eastAsia="Times New Roman" w:cstheme="minorHAnsi"/>
          <w:color w:val="000000"/>
          <w:sz w:val="18"/>
          <w:szCs w:val="18"/>
        </w:rPr>
        <w:t>At its meeting today, the Board decided to maintain the current policy settings, including: the targets of 10 basis points for the cash rate and the yield on the 3-year Australian Government bond; the parameters of the government bond purchase program; and the rate of zero per cent on Exchange Settlement balances.</w:t>
      </w:r>
    </w:p>
    <w:p w14:paraId="5F50EED9" w14:textId="77777777" w:rsidR="00645267" w:rsidRPr="005B5305" w:rsidRDefault="00645267" w:rsidP="00645267">
      <w:pPr>
        <w:pStyle w:val="NoSpacing"/>
        <w:jc w:val="both"/>
        <w:rPr>
          <w:rFonts w:eastAsia="Times New Roman" w:cstheme="minorHAnsi"/>
          <w:color w:val="000000"/>
          <w:sz w:val="18"/>
          <w:szCs w:val="18"/>
        </w:rPr>
      </w:pPr>
    </w:p>
    <w:p w14:paraId="3EE7E4B5" w14:textId="77777777" w:rsidR="00645267" w:rsidRPr="005B5305" w:rsidRDefault="00645267" w:rsidP="00645267">
      <w:pPr>
        <w:pStyle w:val="NoSpacing"/>
        <w:jc w:val="both"/>
        <w:rPr>
          <w:rFonts w:eastAsia="Times New Roman" w:cstheme="minorHAnsi"/>
          <w:color w:val="000000"/>
          <w:sz w:val="18"/>
          <w:szCs w:val="18"/>
        </w:rPr>
      </w:pPr>
      <w:r w:rsidRPr="005B5305">
        <w:rPr>
          <w:rFonts w:eastAsia="Times New Roman" w:cstheme="minorHAnsi"/>
          <w:color w:val="000000"/>
          <w:sz w:val="18"/>
          <w:szCs w:val="18"/>
        </w:rPr>
        <w:t>The global economy is continuing to recover from the pandemic and the outlook is for strong growth this year and next. The recovery remains uneven, though, and some countries are yet to contain the virus. Global trade in goods has picked up strongly and commodity prices are mostly higher than at the start of the year. However, inflation in underlying terms remains low and below central bank targets.</w:t>
      </w:r>
    </w:p>
    <w:p w14:paraId="613DC07B" w14:textId="77777777" w:rsidR="00645267" w:rsidRPr="005B5305" w:rsidRDefault="00645267" w:rsidP="00645267">
      <w:pPr>
        <w:pStyle w:val="NoSpacing"/>
        <w:jc w:val="both"/>
        <w:rPr>
          <w:rFonts w:eastAsia="Times New Roman" w:cstheme="minorHAnsi"/>
          <w:color w:val="000000"/>
          <w:sz w:val="18"/>
          <w:szCs w:val="18"/>
        </w:rPr>
      </w:pPr>
    </w:p>
    <w:p w14:paraId="190E0886" w14:textId="77777777" w:rsidR="00645267" w:rsidRPr="005B5305" w:rsidRDefault="00645267" w:rsidP="00645267">
      <w:pPr>
        <w:pStyle w:val="NoSpacing"/>
        <w:jc w:val="both"/>
        <w:rPr>
          <w:rFonts w:eastAsia="Times New Roman" w:cstheme="minorHAnsi"/>
          <w:color w:val="000000"/>
          <w:sz w:val="18"/>
          <w:szCs w:val="18"/>
        </w:rPr>
      </w:pPr>
      <w:r w:rsidRPr="005B5305">
        <w:rPr>
          <w:rFonts w:eastAsia="Times New Roman" w:cstheme="minorHAnsi"/>
          <w:color w:val="000000"/>
          <w:sz w:val="18"/>
          <w:szCs w:val="18"/>
        </w:rPr>
        <w:t xml:space="preserve">Sovereign bond yields have been steady recently after increasing earlier in the year due to the positive news on vaccines and the additional fiscal stimulus in the United States. Medium-term inflation expectations have lifted from near record lows to be closer to central banks' targets. The </w:t>
      </w:r>
      <w:r w:rsidRPr="005B5305">
        <w:rPr>
          <w:rFonts w:eastAsia="Times New Roman" w:cstheme="minorHAnsi"/>
          <w:b/>
          <w:bCs/>
          <w:color w:val="000000"/>
          <w:sz w:val="18"/>
          <w:szCs w:val="18"/>
        </w:rPr>
        <w:t>3-year government bond yield in Australia is consistent with the Board's target</w:t>
      </w:r>
      <w:r w:rsidRPr="005B5305">
        <w:rPr>
          <w:rFonts w:eastAsia="Times New Roman" w:cstheme="minorHAnsi"/>
          <w:color w:val="000000"/>
          <w:sz w:val="18"/>
          <w:szCs w:val="18"/>
        </w:rPr>
        <w:t xml:space="preserve"> and lending rates for most borrowers are at record lows. The </w:t>
      </w:r>
      <w:r w:rsidRPr="005B5305">
        <w:rPr>
          <w:rFonts w:eastAsia="Times New Roman" w:cstheme="minorHAnsi"/>
          <w:b/>
          <w:bCs/>
          <w:color w:val="000000"/>
          <w:sz w:val="18"/>
          <w:szCs w:val="18"/>
        </w:rPr>
        <w:t>Australian dollar remains in the upper end of the range of recent years</w:t>
      </w:r>
      <w:r w:rsidRPr="005B5305">
        <w:rPr>
          <w:rFonts w:eastAsia="Times New Roman" w:cstheme="minorHAnsi"/>
          <w:color w:val="000000"/>
          <w:sz w:val="18"/>
          <w:szCs w:val="18"/>
        </w:rPr>
        <w:t>.</w:t>
      </w:r>
    </w:p>
    <w:p w14:paraId="4A69CE5A" w14:textId="77777777" w:rsidR="00645267" w:rsidRPr="005B5305" w:rsidRDefault="00645267" w:rsidP="00645267">
      <w:pPr>
        <w:pStyle w:val="NoSpacing"/>
        <w:jc w:val="both"/>
        <w:rPr>
          <w:rFonts w:eastAsia="Times New Roman" w:cstheme="minorHAnsi"/>
          <w:color w:val="000000"/>
          <w:sz w:val="18"/>
          <w:szCs w:val="18"/>
        </w:rPr>
      </w:pPr>
    </w:p>
    <w:p w14:paraId="581E2C15" w14:textId="77777777" w:rsidR="00645267" w:rsidRPr="005B5305" w:rsidRDefault="00645267" w:rsidP="00645267">
      <w:pPr>
        <w:pStyle w:val="NoSpacing"/>
        <w:jc w:val="both"/>
        <w:rPr>
          <w:rFonts w:eastAsia="Times New Roman" w:cstheme="minorHAnsi"/>
          <w:color w:val="000000"/>
          <w:sz w:val="18"/>
          <w:szCs w:val="18"/>
        </w:rPr>
      </w:pPr>
      <w:r w:rsidRPr="005B5305">
        <w:rPr>
          <w:rFonts w:eastAsia="Times New Roman" w:cstheme="minorHAnsi"/>
          <w:color w:val="000000"/>
          <w:sz w:val="18"/>
          <w:szCs w:val="18"/>
        </w:rPr>
        <w:t xml:space="preserve">The economic recovery in Australia is stronger than earlier expected and is forecast to continue. The Bank's central scenario is for GDP to grow by 4¾ per cent over this year and 3½ per cent over 2022. This </w:t>
      </w:r>
      <w:bookmarkStart w:id="1" w:name="_Hlk73607886"/>
      <w:r w:rsidRPr="005B5305">
        <w:rPr>
          <w:rFonts w:eastAsia="Times New Roman" w:cstheme="minorHAnsi"/>
          <w:b/>
          <w:bCs/>
          <w:color w:val="000000"/>
          <w:sz w:val="18"/>
          <w:szCs w:val="18"/>
        </w:rPr>
        <w:t>outlook is supported by fiscal measures and very accommodative financial conditions</w:t>
      </w:r>
      <w:bookmarkEnd w:id="1"/>
      <w:r w:rsidRPr="005B5305">
        <w:rPr>
          <w:rFonts w:eastAsia="Times New Roman" w:cstheme="minorHAnsi"/>
          <w:color w:val="000000"/>
          <w:sz w:val="18"/>
          <w:szCs w:val="18"/>
        </w:rPr>
        <w:t>. An important ongoing source of uncertainty is the possibility of significant outbreaks of the virus, although this should diminish as more of the population is vaccinated.</w:t>
      </w:r>
    </w:p>
    <w:p w14:paraId="188E1638" w14:textId="77777777" w:rsidR="00645267" w:rsidRPr="005B5305" w:rsidRDefault="00645267" w:rsidP="00645267">
      <w:pPr>
        <w:pStyle w:val="NoSpacing"/>
        <w:jc w:val="both"/>
        <w:rPr>
          <w:rFonts w:eastAsia="Times New Roman" w:cstheme="minorHAnsi"/>
          <w:color w:val="000000"/>
          <w:sz w:val="18"/>
          <w:szCs w:val="18"/>
        </w:rPr>
      </w:pPr>
    </w:p>
    <w:p w14:paraId="1DF72E19" w14:textId="77777777" w:rsidR="00645267" w:rsidRPr="005B5305" w:rsidRDefault="00645267" w:rsidP="00645267">
      <w:pPr>
        <w:pStyle w:val="NoSpacing"/>
        <w:jc w:val="both"/>
        <w:rPr>
          <w:rFonts w:eastAsia="Times New Roman" w:cstheme="minorHAnsi"/>
          <w:color w:val="000000"/>
          <w:sz w:val="18"/>
          <w:szCs w:val="18"/>
        </w:rPr>
      </w:pPr>
      <w:r w:rsidRPr="005B5305">
        <w:rPr>
          <w:rFonts w:eastAsia="Times New Roman" w:cstheme="minorHAnsi"/>
          <w:color w:val="000000"/>
          <w:sz w:val="18"/>
          <w:szCs w:val="18"/>
        </w:rPr>
        <w:t xml:space="preserve">Progress in reducing unemployment has been faster than expected, with the unemployment rate declining to 5.5 per cent in April. </w:t>
      </w:r>
      <w:r w:rsidRPr="005B5305">
        <w:rPr>
          <w:rFonts w:eastAsia="Times New Roman" w:cstheme="minorHAnsi"/>
          <w:b/>
          <w:bCs/>
          <w:color w:val="000000"/>
          <w:sz w:val="18"/>
          <w:szCs w:val="18"/>
        </w:rPr>
        <w:t xml:space="preserve">Job vacancies are at a high level </w:t>
      </w:r>
      <w:r w:rsidRPr="005B5305">
        <w:rPr>
          <w:rFonts w:eastAsia="Times New Roman" w:cstheme="minorHAnsi"/>
          <w:color w:val="000000"/>
          <w:sz w:val="18"/>
          <w:szCs w:val="18"/>
        </w:rPr>
        <w:t xml:space="preserve">and a further decline in the unemployment rate to around 5 per cent is expected by the end of this year. There are reports of </w:t>
      </w:r>
      <w:proofErr w:type="spellStart"/>
      <w:r w:rsidRPr="005B5305">
        <w:rPr>
          <w:rFonts w:eastAsia="Times New Roman" w:cstheme="minorHAnsi"/>
          <w:color w:val="000000"/>
          <w:sz w:val="18"/>
          <w:szCs w:val="18"/>
        </w:rPr>
        <w:t>labour</w:t>
      </w:r>
      <w:proofErr w:type="spellEnd"/>
      <w:r w:rsidRPr="005B5305">
        <w:rPr>
          <w:rFonts w:eastAsia="Times New Roman" w:cstheme="minorHAnsi"/>
          <w:color w:val="000000"/>
          <w:sz w:val="18"/>
          <w:szCs w:val="18"/>
        </w:rPr>
        <w:t xml:space="preserve"> shortages in some parts of the economy.</w:t>
      </w:r>
      <w:r>
        <w:rPr>
          <w:rFonts w:eastAsia="Times New Roman" w:cstheme="minorHAnsi"/>
          <w:color w:val="000000"/>
          <w:sz w:val="18"/>
          <w:szCs w:val="18"/>
        </w:rPr>
        <w:t xml:space="preserve"> </w:t>
      </w:r>
      <w:r w:rsidRPr="005B5305">
        <w:rPr>
          <w:rFonts w:eastAsia="Times New Roman" w:cstheme="minorHAnsi"/>
          <w:b/>
          <w:bCs/>
          <w:color w:val="000000"/>
          <w:sz w:val="18"/>
          <w:szCs w:val="18"/>
        </w:rPr>
        <w:t>Despite the strong recovery in the economy and jobs, inflation and wage pressures are subdued</w:t>
      </w:r>
      <w:r w:rsidRPr="005B5305">
        <w:rPr>
          <w:rFonts w:eastAsia="Times New Roman" w:cstheme="minorHAnsi"/>
          <w:color w:val="000000"/>
          <w:sz w:val="18"/>
          <w:szCs w:val="18"/>
        </w:rPr>
        <w:t xml:space="preserve">. While a pick-up in inflation and wages growth is expected, it is likely to be only gradual and modest. In the central scenario, inflation in underlying terms is expected to be 1½ per cent in 2021 and 2 per cent in </w:t>
      </w:r>
      <w:proofErr w:type="spellStart"/>
      <w:r w:rsidRPr="005B5305">
        <w:rPr>
          <w:rFonts w:eastAsia="Times New Roman" w:cstheme="minorHAnsi"/>
          <w:color w:val="000000"/>
          <w:sz w:val="18"/>
          <w:szCs w:val="18"/>
        </w:rPr>
        <w:t>mid 2023</w:t>
      </w:r>
      <w:proofErr w:type="spellEnd"/>
      <w:r w:rsidRPr="005B5305">
        <w:rPr>
          <w:rFonts w:eastAsia="Times New Roman" w:cstheme="minorHAnsi"/>
          <w:color w:val="000000"/>
          <w:sz w:val="18"/>
          <w:szCs w:val="18"/>
        </w:rPr>
        <w:t xml:space="preserve">. In the short term, </w:t>
      </w:r>
      <w:r w:rsidRPr="00592230">
        <w:rPr>
          <w:rFonts w:eastAsia="Times New Roman" w:cstheme="minorHAnsi"/>
          <w:b/>
          <w:bCs/>
          <w:color w:val="000000"/>
          <w:sz w:val="18"/>
          <w:szCs w:val="18"/>
        </w:rPr>
        <w:t>CPI inflation is expected to rise temporarily to be above 3 per cent</w:t>
      </w:r>
      <w:r w:rsidRPr="005B5305">
        <w:rPr>
          <w:rFonts w:eastAsia="Times New Roman" w:cstheme="minorHAnsi"/>
          <w:color w:val="000000"/>
          <w:sz w:val="18"/>
          <w:szCs w:val="18"/>
        </w:rPr>
        <w:t xml:space="preserve"> in the June quarter because of the reversal of some COVID-19-related price reductions.</w:t>
      </w:r>
    </w:p>
    <w:p w14:paraId="2EB04110" w14:textId="77777777" w:rsidR="00645267" w:rsidRPr="005B5305" w:rsidRDefault="00645267" w:rsidP="00645267">
      <w:pPr>
        <w:pStyle w:val="NoSpacing"/>
        <w:jc w:val="both"/>
        <w:rPr>
          <w:rFonts w:eastAsia="Times New Roman" w:cstheme="minorHAnsi"/>
          <w:color w:val="000000"/>
          <w:sz w:val="18"/>
          <w:szCs w:val="18"/>
        </w:rPr>
      </w:pPr>
    </w:p>
    <w:p w14:paraId="3ABCBD55" w14:textId="77777777" w:rsidR="00645267" w:rsidRPr="005B5305" w:rsidRDefault="00645267" w:rsidP="00645267">
      <w:pPr>
        <w:pStyle w:val="NoSpacing"/>
        <w:jc w:val="both"/>
        <w:rPr>
          <w:rFonts w:eastAsia="Times New Roman" w:cstheme="minorHAnsi"/>
          <w:color w:val="000000"/>
          <w:sz w:val="18"/>
          <w:szCs w:val="18"/>
        </w:rPr>
      </w:pPr>
      <w:r w:rsidRPr="005B5305">
        <w:rPr>
          <w:rFonts w:eastAsia="Times New Roman" w:cstheme="minorHAnsi"/>
          <w:color w:val="000000"/>
          <w:sz w:val="18"/>
          <w:szCs w:val="18"/>
        </w:rPr>
        <w:t xml:space="preserve">Housing markets have strengthened further, with prices rising in all major markets. Housing credit growth has picked up, with strong demand from owner-occupiers, </w:t>
      </w:r>
      <w:r w:rsidRPr="00592230">
        <w:rPr>
          <w:rFonts w:eastAsia="Times New Roman" w:cstheme="minorHAnsi"/>
          <w:b/>
          <w:bCs/>
          <w:color w:val="000000"/>
          <w:sz w:val="18"/>
          <w:szCs w:val="18"/>
        </w:rPr>
        <w:t>especially first-home buyers</w:t>
      </w:r>
      <w:r w:rsidRPr="005B5305">
        <w:rPr>
          <w:rFonts w:eastAsia="Times New Roman" w:cstheme="minorHAnsi"/>
          <w:color w:val="000000"/>
          <w:sz w:val="18"/>
          <w:szCs w:val="18"/>
        </w:rPr>
        <w:t xml:space="preserve">. There has also been increased borrowing by investors. Given the environment of rising housing prices and low interest rates, </w:t>
      </w:r>
      <w:r w:rsidRPr="00592230">
        <w:rPr>
          <w:rFonts w:eastAsia="Times New Roman" w:cstheme="minorHAnsi"/>
          <w:b/>
          <w:bCs/>
          <w:color w:val="000000"/>
          <w:sz w:val="18"/>
          <w:szCs w:val="18"/>
        </w:rPr>
        <w:t>the Bank will be monitoring trends in housing borrowing carefully</w:t>
      </w:r>
      <w:r w:rsidRPr="005B5305">
        <w:rPr>
          <w:rFonts w:eastAsia="Times New Roman" w:cstheme="minorHAnsi"/>
          <w:color w:val="000000"/>
          <w:sz w:val="18"/>
          <w:szCs w:val="18"/>
        </w:rPr>
        <w:t xml:space="preserve"> and it is important that lending standards are maintained.</w:t>
      </w:r>
    </w:p>
    <w:p w14:paraId="75B83A65" w14:textId="77777777" w:rsidR="00645267" w:rsidRPr="005B5305" w:rsidRDefault="00645267" w:rsidP="00645267">
      <w:pPr>
        <w:pStyle w:val="NoSpacing"/>
        <w:jc w:val="both"/>
        <w:rPr>
          <w:rFonts w:eastAsia="Times New Roman" w:cstheme="minorHAnsi"/>
          <w:color w:val="000000"/>
          <w:sz w:val="18"/>
          <w:szCs w:val="18"/>
        </w:rPr>
      </w:pPr>
    </w:p>
    <w:p w14:paraId="37A530B3" w14:textId="77777777" w:rsidR="00645267" w:rsidRPr="005B5305" w:rsidRDefault="00645267" w:rsidP="00645267">
      <w:pPr>
        <w:pStyle w:val="NoSpacing"/>
        <w:jc w:val="both"/>
        <w:rPr>
          <w:rFonts w:eastAsia="Times New Roman" w:cstheme="minorHAnsi"/>
          <w:color w:val="000000"/>
          <w:sz w:val="18"/>
          <w:szCs w:val="18"/>
        </w:rPr>
      </w:pPr>
      <w:r w:rsidRPr="005B5305">
        <w:rPr>
          <w:rFonts w:eastAsia="Times New Roman" w:cstheme="minorHAnsi"/>
          <w:color w:val="000000"/>
          <w:sz w:val="18"/>
          <w:szCs w:val="18"/>
        </w:rPr>
        <w:t xml:space="preserve">As foreshadowed last month, at its July meeting the Board will consider whether to retain the April 2024 bond as the target bond for the 3-year yield target or to shift to the next maturity, the November 2024 bond. The Board is not considering a change to the target of 10 basis points. At the July meeting the Board will also consider future bond purchases following the completion of the second $100 billion of purchases under the government bond purchase program in September. </w:t>
      </w:r>
      <w:r w:rsidRPr="002461C5">
        <w:rPr>
          <w:rFonts w:eastAsia="Times New Roman" w:cstheme="minorHAnsi"/>
          <w:b/>
          <w:bCs/>
          <w:color w:val="000000"/>
          <w:sz w:val="18"/>
          <w:szCs w:val="18"/>
        </w:rPr>
        <w:t>The Board continues to place a high priority on a return to full employment.</w:t>
      </w:r>
    </w:p>
    <w:p w14:paraId="574A0E2E" w14:textId="77777777" w:rsidR="00645267" w:rsidRPr="005B5305" w:rsidRDefault="00645267" w:rsidP="00645267">
      <w:pPr>
        <w:pStyle w:val="NoSpacing"/>
        <w:jc w:val="both"/>
        <w:rPr>
          <w:rFonts w:eastAsia="Times New Roman" w:cstheme="minorHAnsi"/>
          <w:color w:val="000000"/>
          <w:sz w:val="18"/>
          <w:szCs w:val="18"/>
        </w:rPr>
      </w:pPr>
    </w:p>
    <w:p w14:paraId="4F0EDBAB" w14:textId="77777777" w:rsidR="00645267" w:rsidRPr="005B5305" w:rsidRDefault="00645267" w:rsidP="00645267">
      <w:pPr>
        <w:pStyle w:val="NoSpacing"/>
        <w:jc w:val="both"/>
        <w:rPr>
          <w:rFonts w:eastAsia="Times New Roman" w:cstheme="minorHAnsi"/>
          <w:color w:val="000000"/>
          <w:sz w:val="18"/>
          <w:szCs w:val="18"/>
        </w:rPr>
      </w:pPr>
      <w:r w:rsidRPr="005B5305">
        <w:rPr>
          <w:rFonts w:eastAsia="Times New Roman" w:cstheme="minorHAnsi"/>
          <w:color w:val="000000"/>
          <w:sz w:val="18"/>
          <w:szCs w:val="18"/>
        </w:rPr>
        <w:t xml:space="preserve">The date for final drawings under the </w:t>
      </w:r>
      <w:r w:rsidRPr="002461C5">
        <w:rPr>
          <w:rFonts w:eastAsia="Times New Roman" w:cstheme="minorHAnsi"/>
          <w:b/>
          <w:bCs/>
          <w:color w:val="000000"/>
          <w:sz w:val="18"/>
          <w:szCs w:val="18"/>
        </w:rPr>
        <w:t>Term Funding Facility</w:t>
      </w:r>
      <w:r w:rsidRPr="005B5305">
        <w:rPr>
          <w:rFonts w:eastAsia="Times New Roman" w:cstheme="minorHAnsi"/>
          <w:color w:val="000000"/>
          <w:sz w:val="18"/>
          <w:szCs w:val="18"/>
        </w:rPr>
        <w:t xml:space="preserve"> is 30 June 2021. So far, </w:t>
      </w:r>
      <w:proofErr w:type="spellStart"/>
      <w:r w:rsidRPr="005B5305">
        <w:rPr>
          <w:rFonts w:eastAsia="Times New Roman" w:cstheme="minorHAnsi"/>
          <w:color w:val="000000"/>
          <w:sz w:val="18"/>
          <w:szCs w:val="18"/>
        </w:rPr>
        <w:t>authorised</w:t>
      </w:r>
      <w:proofErr w:type="spellEnd"/>
      <w:r w:rsidRPr="005B5305">
        <w:rPr>
          <w:rFonts w:eastAsia="Times New Roman" w:cstheme="minorHAnsi"/>
          <w:color w:val="000000"/>
          <w:sz w:val="18"/>
          <w:szCs w:val="18"/>
        </w:rPr>
        <w:t xml:space="preserve"> deposit-taking institutions have drawn $134 billion under this facility and a further $75 billion is available. The facility is providing low-cost fixed-rate funding for 3 years and so will continue to support low borrowing costs until </w:t>
      </w:r>
      <w:proofErr w:type="spellStart"/>
      <w:r w:rsidRPr="005B5305">
        <w:rPr>
          <w:rFonts w:eastAsia="Times New Roman" w:cstheme="minorHAnsi"/>
          <w:color w:val="000000"/>
          <w:sz w:val="18"/>
          <w:szCs w:val="18"/>
        </w:rPr>
        <w:t>mid 2024</w:t>
      </w:r>
      <w:proofErr w:type="spellEnd"/>
      <w:r w:rsidRPr="005B5305">
        <w:rPr>
          <w:rFonts w:eastAsia="Times New Roman" w:cstheme="minorHAnsi"/>
          <w:color w:val="000000"/>
          <w:sz w:val="18"/>
          <w:szCs w:val="18"/>
        </w:rPr>
        <w:t>.</w:t>
      </w:r>
    </w:p>
    <w:p w14:paraId="080E0A9D" w14:textId="77777777" w:rsidR="00645267" w:rsidRPr="005B5305" w:rsidRDefault="00645267" w:rsidP="00645267">
      <w:pPr>
        <w:pStyle w:val="NoSpacing"/>
        <w:jc w:val="both"/>
        <w:rPr>
          <w:rFonts w:eastAsia="Times New Roman" w:cstheme="minorHAnsi"/>
          <w:color w:val="000000"/>
          <w:sz w:val="18"/>
          <w:szCs w:val="18"/>
        </w:rPr>
      </w:pPr>
    </w:p>
    <w:p w14:paraId="1DB9D432" w14:textId="77777777" w:rsidR="00645267" w:rsidRDefault="00645267" w:rsidP="00645267">
      <w:pPr>
        <w:pStyle w:val="NoSpacing"/>
        <w:jc w:val="both"/>
        <w:rPr>
          <w:rFonts w:eastAsia="Times New Roman" w:cstheme="minorHAnsi"/>
          <w:color w:val="000000"/>
          <w:sz w:val="18"/>
          <w:szCs w:val="18"/>
        </w:rPr>
      </w:pPr>
      <w:r w:rsidRPr="005B5305">
        <w:rPr>
          <w:rFonts w:eastAsia="Times New Roman" w:cstheme="minorHAnsi"/>
          <w:color w:val="000000"/>
          <w:sz w:val="18"/>
          <w:szCs w:val="18"/>
        </w:rPr>
        <w:t xml:space="preserve">The Board is committed to maintaining highly supportive monetary conditions to support a return to full employment in Australia and inflation consistent with the target. </w:t>
      </w:r>
      <w:r w:rsidRPr="002461C5">
        <w:rPr>
          <w:rFonts w:eastAsia="Times New Roman" w:cstheme="minorHAnsi"/>
          <w:b/>
          <w:bCs/>
          <w:color w:val="000000"/>
          <w:sz w:val="18"/>
          <w:szCs w:val="18"/>
        </w:rPr>
        <w:t>It will not increase the cash rate until actual inflation is sustainably within the 2 to 3 per cent target range</w:t>
      </w:r>
      <w:r w:rsidRPr="005B5305">
        <w:rPr>
          <w:rFonts w:eastAsia="Times New Roman" w:cstheme="minorHAnsi"/>
          <w:color w:val="000000"/>
          <w:sz w:val="18"/>
          <w:szCs w:val="18"/>
        </w:rPr>
        <w:t xml:space="preserve">. For this to occur, the </w:t>
      </w:r>
      <w:proofErr w:type="spellStart"/>
      <w:r w:rsidRPr="005B5305">
        <w:rPr>
          <w:rFonts w:eastAsia="Times New Roman" w:cstheme="minorHAnsi"/>
          <w:color w:val="000000"/>
          <w:sz w:val="18"/>
          <w:szCs w:val="18"/>
        </w:rPr>
        <w:t>labour</w:t>
      </w:r>
      <w:proofErr w:type="spellEnd"/>
      <w:r w:rsidRPr="005B5305">
        <w:rPr>
          <w:rFonts w:eastAsia="Times New Roman" w:cstheme="minorHAnsi"/>
          <w:color w:val="000000"/>
          <w:sz w:val="18"/>
          <w:szCs w:val="18"/>
        </w:rPr>
        <w:t xml:space="preserve"> market will need to be tight enough to generate wages growth that is materially higher than it is currently. This is unlikely to be until 2024 at the earliest.</w:t>
      </w:r>
    </w:p>
    <w:p w14:paraId="7D0E4D9D" w14:textId="77777777" w:rsidR="00645267" w:rsidRPr="0015176D" w:rsidRDefault="00645267" w:rsidP="00645267">
      <w:pPr>
        <w:pStyle w:val="NoSpacing"/>
        <w:jc w:val="both"/>
        <w:rPr>
          <w:sz w:val="18"/>
          <w:szCs w:val="18"/>
        </w:rPr>
      </w:pPr>
    </w:p>
    <w:p w14:paraId="28C47CDE" w14:textId="77777777" w:rsidR="00645267" w:rsidRDefault="00645267" w:rsidP="00645267">
      <w:pPr>
        <w:pStyle w:val="NoSpacing"/>
        <w:jc w:val="both"/>
        <w:rPr>
          <w:b/>
          <w:bCs/>
          <w:sz w:val="18"/>
          <w:szCs w:val="18"/>
        </w:rPr>
      </w:pPr>
      <w:r w:rsidRPr="0015176D">
        <w:rPr>
          <w:b/>
          <w:bCs/>
          <w:sz w:val="18"/>
          <w:szCs w:val="18"/>
        </w:rPr>
        <w:t>Questions</w:t>
      </w:r>
    </w:p>
    <w:p w14:paraId="14F71BCE" w14:textId="77777777" w:rsidR="00645267" w:rsidRPr="005B5305" w:rsidRDefault="00645267" w:rsidP="00645267">
      <w:pPr>
        <w:pStyle w:val="NoSpacing"/>
        <w:numPr>
          <w:ilvl w:val="0"/>
          <w:numId w:val="2"/>
        </w:numPr>
        <w:jc w:val="both"/>
        <w:rPr>
          <w:b/>
          <w:bCs/>
          <w:sz w:val="18"/>
          <w:szCs w:val="18"/>
        </w:rPr>
      </w:pPr>
      <w:r w:rsidRPr="0015176D">
        <w:rPr>
          <w:b/>
          <w:bCs/>
          <w:sz w:val="18"/>
          <w:szCs w:val="18"/>
        </w:rPr>
        <w:t xml:space="preserve">Explain how the RBA achieve its target of </w:t>
      </w:r>
      <w:r w:rsidRPr="0015176D">
        <w:rPr>
          <w:rFonts w:eastAsia="Times New Roman" w:cstheme="minorHAnsi"/>
          <w:b/>
          <w:bCs/>
          <w:color w:val="000000"/>
          <w:sz w:val="18"/>
          <w:szCs w:val="18"/>
        </w:rPr>
        <w:t>yield on the 3-year Australian Government bond</w:t>
      </w:r>
      <w:r>
        <w:rPr>
          <w:rFonts w:eastAsia="Times New Roman" w:cstheme="minorHAnsi"/>
          <w:b/>
          <w:bCs/>
          <w:color w:val="000000"/>
          <w:sz w:val="18"/>
          <w:szCs w:val="18"/>
        </w:rPr>
        <w:t xml:space="preserve"> 0.1%.</w:t>
      </w:r>
    </w:p>
    <w:p w14:paraId="66F2686E" w14:textId="77777777" w:rsidR="00645267" w:rsidRDefault="00645267" w:rsidP="00645267">
      <w:pPr>
        <w:pStyle w:val="NoSpacing"/>
        <w:numPr>
          <w:ilvl w:val="0"/>
          <w:numId w:val="2"/>
        </w:numPr>
        <w:jc w:val="both"/>
        <w:rPr>
          <w:b/>
          <w:bCs/>
          <w:sz w:val="18"/>
          <w:szCs w:val="18"/>
        </w:rPr>
      </w:pPr>
      <w:r>
        <w:rPr>
          <w:b/>
          <w:bCs/>
          <w:sz w:val="18"/>
          <w:szCs w:val="18"/>
        </w:rPr>
        <w:t>Provide a possible explanation for the appreciation of the Australian dollar when Australian interest rates have been falling.</w:t>
      </w:r>
    </w:p>
    <w:p w14:paraId="7C9D1F72" w14:textId="77777777" w:rsidR="00645267" w:rsidRPr="005B5305" w:rsidRDefault="00645267" w:rsidP="00645267">
      <w:pPr>
        <w:pStyle w:val="NoSpacing"/>
        <w:numPr>
          <w:ilvl w:val="0"/>
          <w:numId w:val="2"/>
        </w:numPr>
        <w:jc w:val="both"/>
        <w:rPr>
          <w:b/>
          <w:bCs/>
          <w:sz w:val="18"/>
          <w:szCs w:val="18"/>
        </w:rPr>
      </w:pPr>
      <w:r>
        <w:rPr>
          <w:b/>
          <w:bCs/>
          <w:sz w:val="18"/>
          <w:szCs w:val="18"/>
        </w:rPr>
        <w:t xml:space="preserve">Explain what the Governor means when he says that ‘This [positive] </w:t>
      </w:r>
      <w:r w:rsidRPr="005B5305">
        <w:rPr>
          <w:rFonts w:eastAsia="Times New Roman" w:cstheme="minorHAnsi"/>
          <w:b/>
          <w:bCs/>
          <w:color w:val="000000"/>
          <w:sz w:val="18"/>
          <w:szCs w:val="18"/>
        </w:rPr>
        <w:t xml:space="preserve">outlook is supported by fiscal measures and very accommodative financial </w:t>
      </w:r>
      <w:proofErr w:type="gramStart"/>
      <w:r w:rsidRPr="005B5305">
        <w:rPr>
          <w:rFonts w:eastAsia="Times New Roman" w:cstheme="minorHAnsi"/>
          <w:b/>
          <w:bCs/>
          <w:color w:val="000000"/>
          <w:sz w:val="18"/>
          <w:szCs w:val="18"/>
        </w:rPr>
        <w:t>conditions</w:t>
      </w:r>
      <w:r>
        <w:rPr>
          <w:rFonts w:eastAsia="Times New Roman" w:cstheme="minorHAnsi"/>
          <w:b/>
          <w:bCs/>
          <w:color w:val="000000"/>
          <w:sz w:val="18"/>
          <w:szCs w:val="18"/>
        </w:rPr>
        <w:t>’</w:t>
      </w:r>
      <w:proofErr w:type="gramEnd"/>
      <w:r>
        <w:rPr>
          <w:rFonts w:eastAsia="Times New Roman" w:cstheme="minorHAnsi"/>
          <w:b/>
          <w:bCs/>
          <w:color w:val="000000"/>
          <w:sz w:val="18"/>
          <w:szCs w:val="18"/>
        </w:rPr>
        <w:t xml:space="preserve">.  </w:t>
      </w:r>
    </w:p>
    <w:p w14:paraId="32CC504D" w14:textId="77777777" w:rsidR="00645267" w:rsidRDefault="00645267" w:rsidP="00645267">
      <w:pPr>
        <w:pStyle w:val="NoSpacing"/>
        <w:numPr>
          <w:ilvl w:val="0"/>
          <w:numId w:val="2"/>
        </w:numPr>
        <w:jc w:val="both"/>
        <w:rPr>
          <w:b/>
          <w:bCs/>
          <w:sz w:val="18"/>
          <w:szCs w:val="18"/>
        </w:rPr>
      </w:pPr>
      <w:r>
        <w:rPr>
          <w:b/>
          <w:bCs/>
          <w:sz w:val="18"/>
          <w:szCs w:val="18"/>
        </w:rPr>
        <w:t xml:space="preserve">In isolation, outline how high job vacancies are likely to influence RBA decision making. In your answer, refer to spare capacity in </w:t>
      </w:r>
      <w:proofErr w:type="spellStart"/>
      <w:r>
        <w:rPr>
          <w:b/>
          <w:bCs/>
          <w:sz w:val="18"/>
          <w:szCs w:val="18"/>
        </w:rPr>
        <w:t>labour</w:t>
      </w:r>
      <w:proofErr w:type="spellEnd"/>
      <w:r>
        <w:rPr>
          <w:b/>
          <w:bCs/>
          <w:sz w:val="18"/>
          <w:szCs w:val="18"/>
        </w:rPr>
        <w:t xml:space="preserve"> markets.</w:t>
      </w:r>
    </w:p>
    <w:p w14:paraId="6331656C" w14:textId="77777777" w:rsidR="00645267" w:rsidRDefault="00645267" w:rsidP="00645267">
      <w:pPr>
        <w:pStyle w:val="NoSpacing"/>
        <w:numPr>
          <w:ilvl w:val="0"/>
          <w:numId w:val="2"/>
        </w:numPr>
        <w:jc w:val="both"/>
        <w:rPr>
          <w:b/>
          <w:bCs/>
          <w:sz w:val="18"/>
          <w:szCs w:val="18"/>
        </w:rPr>
      </w:pPr>
      <w:r>
        <w:rPr>
          <w:b/>
          <w:bCs/>
          <w:sz w:val="18"/>
          <w:szCs w:val="18"/>
        </w:rPr>
        <w:t>Explain why inflation and wage pressures remain subdued despite a ‘strong recovery’.</w:t>
      </w:r>
    </w:p>
    <w:p w14:paraId="790CDD10" w14:textId="77777777" w:rsidR="00645267" w:rsidRDefault="00645267" w:rsidP="00645267">
      <w:pPr>
        <w:pStyle w:val="NoSpacing"/>
        <w:numPr>
          <w:ilvl w:val="0"/>
          <w:numId w:val="2"/>
        </w:numPr>
        <w:jc w:val="both"/>
        <w:rPr>
          <w:b/>
          <w:bCs/>
          <w:sz w:val="18"/>
          <w:szCs w:val="18"/>
        </w:rPr>
      </w:pPr>
      <w:r>
        <w:rPr>
          <w:b/>
          <w:bCs/>
          <w:sz w:val="18"/>
          <w:szCs w:val="18"/>
        </w:rPr>
        <w:t>Explain why an increase in inflation above 3% in the year to end June will not lead to a tightening of monetary policy.</w:t>
      </w:r>
    </w:p>
    <w:p w14:paraId="7D89A02D" w14:textId="77777777" w:rsidR="00645267" w:rsidRDefault="00645267" w:rsidP="00645267">
      <w:pPr>
        <w:pStyle w:val="NoSpacing"/>
        <w:numPr>
          <w:ilvl w:val="0"/>
          <w:numId w:val="2"/>
        </w:numPr>
        <w:jc w:val="both"/>
        <w:rPr>
          <w:b/>
          <w:bCs/>
          <w:sz w:val="18"/>
          <w:szCs w:val="18"/>
        </w:rPr>
      </w:pPr>
      <w:r>
        <w:rPr>
          <w:b/>
          <w:bCs/>
          <w:sz w:val="18"/>
          <w:szCs w:val="18"/>
        </w:rPr>
        <w:t xml:space="preserve">Explain why there has been strong growth in the demand for properties by first-home buyers.  </w:t>
      </w:r>
    </w:p>
    <w:p w14:paraId="23D2D7CF" w14:textId="77777777" w:rsidR="00645267" w:rsidRDefault="00645267" w:rsidP="00645267">
      <w:pPr>
        <w:pStyle w:val="NoSpacing"/>
        <w:numPr>
          <w:ilvl w:val="0"/>
          <w:numId w:val="2"/>
        </w:numPr>
        <w:jc w:val="both"/>
        <w:rPr>
          <w:b/>
          <w:bCs/>
          <w:sz w:val="18"/>
          <w:szCs w:val="18"/>
        </w:rPr>
      </w:pPr>
      <w:r>
        <w:rPr>
          <w:b/>
          <w:bCs/>
          <w:sz w:val="18"/>
          <w:szCs w:val="18"/>
        </w:rPr>
        <w:t>Explain why ‘</w:t>
      </w:r>
      <w:r w:rsidRPr="00592230">
        <w:rPr>
          <w:rFonts w:eastAsia="Times New Roman" w:cstheme="minorHAnsi"/>
          <w:b/>
          <w:bCs/>
          <w:color w:val="000000"/>
          <w:sz w:val="18"/>
          <w:szCs w:val="18"/>
        </w:rPr>
        <w:t>the Bank will be monitoring trends in housing borrowing carefully</w:t>
      </w:r>
      <w:r>
        <w:rPr>
          <w:rFonts w:eastAsia="Times New Roman" w:cstheme="minorHAnsi"/>
          <w:b/>
          <w:bCs/>
          <w:color w:val="000000"/>
          <w:sz w:val="18"/>
          <w:szCs w:val="18"/>
        </w:rPr>
        <w:t>’.  In your answer, refer to one of the transmission channels of monetary policy.</w:t>
      </w:r>
    </w:p>
    <w:p w14:paraId="6AADE49B" w14:textId="77777777" w:rsidR="00645267" w:rsidRPr="0015176D" w:rsidRDefault="00645267" w:rsidP="00645267">
      <w:pPr>
        <w:pStyle w:val="NoSpacing"/>
        <w:numPr>
          <w:ilvl w:val="0"/>
          <w:numId w:val="2"/>
        </w:numPr>
        <w:jc w:val="both"/>
        <w:rPr>
          <w:b/>
          <w:bCs/>
          <w:sz w:val="18"/>
          <w:szCs w:val="18"/>
        </w:rPr>
      </w:pPr>
      <w:r>
        <w:rPr>
          <w:b/>
          <w:bCs/>
          <w:sz w:val="18"/>
          <w:szCs w:val="18"/>
        </w:rPr>
        <w:t>The Governor once again notes that</w:t>
      </w:r>
      <w:r w:rsidRPr="0015176D">
        <w:rPr>
          <w:b/>
          <w:bCs/>
          <w:sz w:val="18"/>
          <w:szCs w:val="18"/>
        </w:rPr>
        <w:t xml:space="preserve"> ‘the </w:t>
      </w:r>
      <w:r w:rsidRPr="0015176D">
        <w:rPr>
          <w:rFonts w:eastAsia="Times New Roman" w:cstheme="minorHAnsi"/>
          <w:b/>
          <w:bCs/>
          <w:color w:val="000000"/>
          <w:sz w:val="18"/>
          <w:szCs w:val="18"/>
        </w:rPr>
        <w:t>Board places a high priority on a return to full employment’</w:t>
      </w:r>
      <w:r>
        <w:rPr>
          <w:rFonts w:eastAsia="Times New Roman" w:cstheme="minorHAnsi"/>
          <w:b/>
          <w:bCs/>
          <w:color w:val="000000"/>
          <w:sz w:val="18"/>
          <w:szCs w:val="18"/>
        </w:rPr>
        <w:t>.  D</w:t>
      </w:r>
      <w:r w:rsidRPr="0015176D">
        <w:rPr>
          <w:rFonts w:eastAsia="Times New Roman" w:cstheme="minorHAnsi"/>
          <w:b/>
          <w:bCs/>
          <w:color w:val="000000"/>
          <w:sz w:val="18"/>
          <w:szCs w:val="18"/>
        </w:rPr>
        <w:t xml:space="preserve">iscuss whether this </w:t>
      </w:r>
      <w:r>
        <w:rPr>
          <w:rFonts w:eastAsia="Times New Roman" w:cstheme="minorHAnsi"/>
          <w:b/>
          <w:bCs/>
          <w:color w:val="000000"/>
          <w:sz w:val="18"/>
          <w:szCs w:val="18"/>
        </w:rPr>
        <w:t>is consistent with</w:t>
      </w:r>
      <w:r w:rsidRPr="0015176D">
        <w:rPr>
          <w:rFonts w:eastAsia="Times New Roman" w:cstheme="minorHAnsi"/>
          <w:b/>
          <w:bCs/>
          <w:color w:val="000000"/>
          <w:sz w:val="18"/>
          <w:szCs w:val="18"/>
        </w:rPr>
        <w:t xml:space="preserve"> the RBA’s charter.</w:t>
      </w:r>
    </w:p>
    <w:p w14:paraId="2C28084B" w14:textId="77777777" w:rsidR="00645267" w:rsidRDefault="00645267" w:rsidP="00645267">
      <w:pPr>
        <w:pStyle w:val="NoSpacing"/>
        <w:numPr>
          <w:ilvl w:val="0"/>
          <w:numId w:val="2"/>
        </w:numPr>
        <w:jc w:val="both"/>
        <w:rPr>
          <w:b/>
          <w:bCs/>
          <w:sz w:val="18"/>
          <w:szCs w:val="18"/>
        </w:rPr>
      </w:pPr>
      <w:r>
        <w:rPr>
          <w:b/>
          <w:bCs/>
          <w:sz w:val="18"/>
          <w:szCs w:val="18"/>
        </w:rPr>
        <w:t>Describe how the existence of the ‘Term Funding Facility’ provides support to the economy and outline whether it represents conventional or non-conventional monetary policy support.</w:t>
      </w:r>
    </w:p>
    <w:p w14:paraId="16D2F400" w14:textId="77777777" w:rsidR="00645267" w:rsidRPr="0015176D" w:rsidRDefault="00645267" w:rsidP="00645267">
      <w:pPr>
        <w:pStyle w:val="NoSpacing"/>
        <w:numPr>
          <w:ilvl w:val="0"/>
          <w:numId w:val="2"/>
        </w:numPr>
        <w:jc w:val="both"/>
        <w:rPr>
          <w:b/>
          <w:bCs/>
          <w:sz w:val="18"/>
          <w:szCs w:val="18"/>
        </w:rPr>
      </w:pPr>
      <w:r w:rsidRPr="0015176D">
        <w:rPr>
          <w:b/>
          <w:bCs/>
          <w:sz w:val="18"/>
          <w:szCs w:val="18"/>
        </w:rPr>
        <w:t xml:space="preserve">Describe the conditions that would need to exist before the RBA </w:t>
      </w:r>
      <w:r>
        <w:rPr>
          <w:b/>
          <w:bCs/>
          <w:sz w:val="18"/>
          <w:szCs w:val="18"/>
        </w:rPr>
        <w:t>tightens monetary policy</w:t>
      </w:r>
      <w:r w:rsidRPr="0015176D">
        <w:rPr>
          <w:b/>
          <w:bCs/>
          <w:sz w:val="18"/>
          <w:szCs w:val="18"/>
        </w:rPr>
        <w:t xml:space="preserve">.  In your answer, </w:t>
      </w:r>
      <w:proofErr w:type="gramStart"/>
      <w:r w:rsidRPr="0015176D">
        <w:rPr>
          <w:b/>
          <w:bCs/>
          <w:sz w:val="18"/>
          <w:szCs w:val="18"/>
        </w:rPr>
        <w:t>make reference</w:t>
      </w:r>
      <w:proofErr w:type="gramEnd"/>
      <w:r w:rsidRPr="0015176D">
        <w:rPr>
          <w:b/>
          <w:bCs/>
          <w:sz w:val="18"/>
          <w:szCs w:val="18"/>
        </w:rPr>
        <w:t xml:space="preserve"> to NAIRU.</w:t>
      </w:r>
    </w:p>
    <w:p w14:paraId="3A4F9EF6" w14:textId="77777777" w:rsidR="002461C5" w:rsidRPr="00645267" w:rsidRDefault="002461C5" w:rsidP="00645267"/>
    <w:sectPr w:rsidR="002461C5" w:rsidRPr="00645267" w:rsidSect="009D70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F6947"/>
    <w:multiLevelType w:val="hybridMultilevel"/>
    <w:tmpl w:val="43962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E421D5B"/>
    <w:multiLevelType w:val="hybridMultilevel"/>
    <w:tmpl w:val="AF327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64"/>
    <w:rsid w:val="00047D80"/>
    <w:rsid w:val="0015176D"/>
    <w:rsid w:val="001624C0"/>
    <w:rsid w:val="00235562"/>
    <w:rsid w:val="002461C5"/>
    <w:rsid w:val="00262E80"/>
    <w:rsid w:val="005B5305"/>
    <w:rsid w:val="00645267"/>
    <w:rsid w:val="009307A0"/>
    <w:rsid w:val="009D7064"/>
    <w:rsid w:val="00BB105F"/>
    <w:rsid w:val="00C22C2B"/>
    <w:rsid w:val="00CA6448"/>
    <w:rsid w:val="00CF4F9C"/>
    <w:rsid w:val="00D83932"/>
    <w:rsid w:val="00F2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FD69"/>
  <w15:chartTrackingRefBased/>
  <w15:docId w15:val="{F1BE287D-B89D-4733-8142-BCC6F3C6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064"/>
    <w:pPr>
      <w:spacing w:after="0" w:line="240" w:lineRule="auto"/>
    </w:pPr>
  </w:style>
  <w:style w:type="character" w:styleId="Hyperlink">
    <w:name w:val="Hyperlink"/>
    <w:basedOn w:val="DefaultParagraphFont"/>
    <w:uiPriority w:val="99"/>
    <w:unhideWhenUsed/>
    <w:rsid w:val="001624C0"/>
    <w:rPr>
      <w:color w:val="0563C1" w:themeColor="hyperlink"/>
      <w:u w:val="single"/>
    </w:rPr>
  </w:style>
  <w:style w:type="character" w:styleId="UnresolvedMention">
    <w:name w:val="Unresolved Mention"/>
    <w:basedOn w:val="DefaultParagraphFont"/>
    <w:uiPriority w:val="99"/>
    <w:semiHidden/>
    <w:unhideWhenUsed/>
    <w:rsid w:val="00162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820">
      <w:bodyDiv w:val="1"/>
      <w:marLeft w:val="0"/>
      <w:marRight w:val="0"/>
      <w:marTop w:val="0"/>
      <w:marBottom w:val="0"/>
      <w:divBdr>
        <w:top w:val="none" w:sz="0" w:space="0" w:color="auto"/>
        <w:left w:val="none" w:sz="0" w:space="0" w:color="auto"/>
        <w:bottom w:val="none" w:sz="0" w:space="0" w:color="auto"/>
        <w:right w:val="none" w:sz="0" w:space="0" w:color="auto"/>
      </w:divBdr>
    </w:div>
    <w:div w:id="867717109">
      <w:bodyDiv w:val="1"/>
      <w:marLeft w:val="0"/>
      <w:marRight w:val="0"/>
      <w:marTop w:val="0"/>
      <w:marBottom w:val="0"/>
      <w:divBdr>
        <w:top w:val="none" w:sz="0" w:space="0" w:color="auto"/>
        <w:left w:val="none" w:sz="0" w:space="0" w:color="auto"/>
        <w:bottom w:val="none" w:sz="0" w:space="0" w:color="auto"/>
        <w:right w:val="none" w:sz="0" w:space="0" w:color="auto"/>
      </w:divBdr>
      <w:divsChild>
        <w:div w:id="170534388">
          <w:marLeft w:val="0"/>
          <w:marRight w:val="0"/>
          <w:marTop w:val="225"/>
          <w:marBottom w:val="450"/>
          <w:divBdr>
            <w:top w:val="none" w:sz="0" w:space="8" w:color="F3F6FF"/>
            <w:left w:val="none" w:sz="0" w:space="11" w:color="F3F6FF"/>
            <w:bottom w:val="none" w:sz="0" w:space="8" w:color="F3F6FF"/>
            <w:right w:val="none" w:sz="0" w:space="11" w:color="F3F6FF"/>
          </w:divBdr>
          <w:divsChild>
            <w:div w:id="1844659798">
              <w:marLeft w:val="0"/>
              <w:marRight w:val="0"/>
              <w:marTop w:val="0"/>
              <w:marBottom w:val="0"/>
              <w:divBdr>
                <w:top w:val="none" w:sz="0" w:space="0" w:color="auto"/>
                <w:left w:val="none" w:sz="0" w:space="0" w:color="auto"/>
                <w:bottom w:val="none" w:sz="0" w:space="0" w:color="auto"/>
                <w:right w:val="none" w:sz="0" w:space="0" w:color="auto"/>
              </w:divBdr>
            </w:div>
            <w:div w:id="2081440252">
              <w:marLeft w:val="0"/>
              <w:marRight w:val="0"/>
              <w:marTop w:val="75"/>
              <w:marBottom w:val="0"/>
              <w:divBdr>
                <w:top w:val="none" w:sz="0" w:space="0" w:color="auto"/>
                <w:left w:val="none" w:sz="0" w:space="0" w:color="auto"/>
                <w:bottom w:val="none" w:sz="0" w:space="0" w:color="auto"/>
                <w:right w:val="none" w:sz="0" w:space="0" w:color="auto"/>
              </w:divBdr>
            </w:div>
          </w:divsChild>
        </w:div>
        <w:div w:id="186993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Salla</dc:creator>
  <cp:keywords/>
  <dc:description/>
  <cp:lastModifiedBy>Romeo Salla</cp:lastModifiedBy>
  <cp:revision>6</cp:revision>
  <dcterms:created xsi:type="dcterms:W3CDTF">2021-03-02T22:44:00Z</dcterms:created>
  <dcterms:modified xsi:type="dcterms:W3CDTF">2021-06-03T00:50:00Z</dcterms:modified>
</cp:coreProperties>
</file>