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B1A0" w14:textId="76AF3AD1" w:rsidR="00683E42" w:rsidRPr="00683E42" w:rsidRDefault="00683E42" w:rsidP="00683E42">
      <w:pPr>
        <w:pStyle w:val="NoSpacing"/>
        <w:jc w:val="center"/>
        <w:rPr>
          <w:b/>
          <w:bCs/>
        </w:rPr>
      </w:pPr>
      <w:r w:rsidRPr="00683E42">
        <w:rPr>
          <w:b/>
          <w:bCs/>
        </w:rPr>
        <w:t>The following is an edited version of an RBA article appearing in the RBA Bulleting titled ‘Determinants of the Australian Dollar Over Recent Years</w:t>
      </w:r>
      <w:r w:rsidR="00107CFB">
        <w:rPr>
          <w:b/>
          <w:bCs/>
        </w:rPr>
        <w:t>’</w:t>
      </w:r>
    </w:p>
    <w:p w14:paraId="717A0F26" w14:textId="7F250228" w:rsidR="00683E42" w:rsidRPr="00683E42" w:rsidRDefault="00683E42" w:rsidP="00683E42">
      <w:pPr>
        <w:pStyle w:val="NoSpacing"/>
        <w:jc w:val="center"/>
        <w:rPr>
          <w:b/>
          <w:bCs/>
        </w:rPr>
      </w:pPr>
      <w:r w:rsidRPr="00683E42">
        <w:rPr>
          <w:b/>
          <w:bCs/>
        </w:rPr>
        <w:t xml:space="preserve">Written by Tim Atkin, Isabel Hartstein and Jarkko </w:t>
      </w:r>
      <w:proofErr w:type="spellStart"/>
      <w:r w:rsidRPr="00683E42">
        <w:rPr>
          <w:b/>
          <w:bCs/>
        </w:rPr>
        <w:t>Jääskelä</w:t>
      </w:r>
      <w:proofErr w:type="spellEnd"/>
    </w:p>
    <w:p w14:paraId="1B6C3FB5" w14:textId="76E4E572" w:rsidR="00683E42" w:rsidRDefault="00683E42" w:rsidP="00683E42">
      <w:pPr>
        <w:pStyle w:val="NoSpacing"/>
        <w:jc w:val="center"/>
        <w:rPr>
          <w:b/>
          <w:bCs/>
        </w:rPr>
      </w:pPr>
      <w:r w:rsidRPr="00683E42">
        <w:rPr>
          <w:b/>
          <w:bCs/>
        </w:rPr>
        <w:t>18 March 2021</w:t>
      </w:r>
    </w:p>
    <w:p w14:paraId="46433EAD" w14:textId="1CC83ADB" w:rsidR="00987717" w:rsidRDefault="00987717" w:rsidP="00683E42">
      <w:pPr>
        <w:pStyle w:val="NoSpacing"/>
        <w:jc w:val="center"/>
        <w:rPr>
          <w:b/>
          <w:bCs/>
        </w:rPr>
      </w:pPr>
    </w:p>
    <w:p w14:paraId="4886AC64" w14:textId="77A100F9" w:rsidR="00987717" w:rsidRPr="00683E42" w:rsidRDefault="00987717" w:rsidP="00683E42">
      <w:pPr>
        <w:pStyle w:val="NoSpacing"/>
        <w:jc w:val="center"/>
        <w:rPr>
          <w:b/>
          <w:bCs/>
        </w:rPr>
      </w:pPr>
      <w:r>
        <w:rPr>
          <w:b/>
          <w:bCs/>
        </w:rPr>
        <w:t xml:space="preserve">The unedited version can be downloaded here: </w:t>
      </w:r>
      <w:proofErr w:type="gramStart"/>
      <w:r w:rsidRPr="00987717">
        <w:rPr>
          <w:b/>
          <w:bCs/>
        </w:rPr>
        <w:t>https://www.rba.gov.au/publications/bulletin/2021/mar/determinants-of-the-australian-dollar-over-recent-years.html</w:t>
      </w:r>
      <w:proofErr w:type="gramEnd"/>
    </w:p>
    <w:p w14:paraId="49EC73F2" w14:textId="0C3B776E" w:rsidR="00683E42" w:rsidRDefault="00731C07" w:rsidP="00683E42">
      <w:pPr>
        <w:pStyle w:val="NoSpacing"/>
        <w:jc w:val="both"/>
      </w:pPr>
      <w:r w:rsidRPr="00683E42">
        <w:rPr>
          <w:noProof/>
        </w:rPr>
        <w:drawing>
          <wp:anchor distT="0" distB="0" distL="114300" distR="114300" simplePos="0" relativeHeight="251658240" behindDoc="0" locked="0" layoutInCell="1" allowOverlap="1" wp14:anchorId="4B85106E" wp14:editId="093D9E20">
            <wp:simplePos x="0" y="0"/>
            <wp:positionH relativeFrom="margin">
              <wp:align>right</wp:align>
            </wp:positionH>
            <wp:positionV relativeFrom="paragraph">
              <wp:posOffset>143510</wp:posOffset>
            </wp:positionV>
            <wp:extent cx="3175000" cy="29222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75000" cy="2922270"/>
                    </a:xfrm>
                    <a:prstGeom prst="rect">
                      <a:avLst/>
                    </a:prstGeom>
                  </pic:spPr>
                </pic:pic>
              </a:graphicData>
            </a:graphic>
            <wp14:sizeRelH relativeFrom="margin">
              <wp14:pctWidth>0</wp14:pctWidth>
            </wp14:sizeRelH>
            <wp14:sizeRelV relativeFrom="margin">
              <wp14:pctHeight>0</wp14:pctHeight>
            </wp14:sizeRelV>
          </wp:anchor>
        </w:drawing>
      </w:r>
    </w:p>
    <w:p w14:paraId="75710CA1" w14:textId="6208F212" w:rsidR="00683E42" w:rsidRDefault="00683E42" w:rsidP="00683E42">
      <w:pPr>
        <w:pStyle w:val="NoSpacing"/>
        <w:jc w:val="both"/>
      </w:pPr>
      <w:r>
        <w:t xml:space="preserve">The Australian dollar has depreciated on a trade-weighted (TWI) basis from its peak in 2013 following the end of the mining boom.[1] Over the same period, monetary policy in Australia has been eased while interest rates in other advanced economies have remained low. As a result, the difference between interest rates in Australia and those in major advanced economies – the </w:t>
      </w:r>
      <w:r w:rsidRPr="00683E42">
        <w:rPr>
          <w:b/>
          <w:bCs/>
        </w:rPr>
        <w:t>interest rate differential</w:t>
      </w:r>
      <w:r>
        <w:t xml:space="preserve"> – has declined (Graph 1). Australia's </w:t>
      </w:r>
      <w:r w:rsidRPr="00683E42">
        <w:rPr>
          <w:b/>
          <w:bCs/>
        </w:rPr>
        <w:t>terms of trade</w:t>
      </w:r>
      <w:r>
        <w:t xml:space="preserve"> – the ratio of export to import prices – has also declined from its peak at the height of the mining boom despite some large swings in commodity prices over recent years. The Australian dollar reached its lowest level since the early 2000s during the period of heightened market stress related to the COVID-19 outbreak in March 2020.[2] Since then the Australian dollar has appreciated as the prospects for a </w:t>
      </w:r>
      <w:r w:rsidRPr="00683E42">
        <w:rPr>
          <w:b/>
          <w:bCs/>
        </w:rPr>
        <w:t>recovery in global growth</w:t>
      </w:r>
      <w:r>
        <w:t xml:space="preserve"> have improved and </w:t>
      </w:r>
      <w:r w:rsidRPr="00683E42">
        <w:rPr>
          <w:b/>
          <w:bCs/>
        </w:rPr>
        <w:t>commodity prices</w:t>
      </w:r>
      <w:r>
        <w:t xml:space="preserve"> have increased, but it remains well below its 2013 peak.</w:t>
      </w:r>
    </w:p>
    <w:p w14:paraId="0CFE8310" w14:textId="77777777" w:rsidR="00683E42" w:rsidRDefault="00683E42" w:rsidP="00683E42">
      <w:pPr>
        <w:pStyle w:val="NoSpacing"/>
        <w:jc w:val="both"/>
      </w:pPr>
    </w:p>
    <w:p w14:paraId="12C9944C" w14:textId="3FB3CA71" w:rsidR="00683E42" w:rsidRDefault="00683E42" w:rsidP="00683E42">
      <w:pPr>
        <w:pStyle w:val="NoSpacing"/>
        <w:jc w:val="both"/>
      </w:pPr>
      <w:r>
        <w:t xml:space="preserve">The </w:t>
      </w:r>
      <w:r w:rsidRPr="00894935">
        <w:rPr>
          <w:b/>
          <w:bCs/>
        </w:rPr>
        <w:t>terms of trade</w:t>
      </w:r>
      <w:r>
        <w:t xml:space="preserve"> and </w:t>
      </w:r>
      <w:r w:rsidRPr="00894935">
        <w:rPr>
          <w:b/>
          <w:bCs/>
        </w:rPr>
        <w:t>interest rate differentials</w:t>
      </w:r>
      <w:r>
        <w:t xml:space="preserve"> are key determinants of the Australian dollar over the medium to longer run.[3] These determinants provide information about the expected demand for Australian dollars. For example, the interest rate differential captures expectations about returns on Australian dollar assets relative to those on comparable assets elsewhere in the world, which influences the demand for Australian dollars. These relationships have been observed over long periods of time</w:t>
      </w:r>
      <w:r w:rsidR="0031037D">
        <w:t>.</w:t>
      </w:r>
    </w:p>
    <w:p w14:paraId="5A4AD491" w14:textId="77777777" w:rsidR="00683E42" w:rsidRDefault="00683E42" w:rsidP="00683E42">
      <w:pPr>
        <w:pStyle w:val="NoSpacing"/>
        <w:jc w:val="both"/>
      </w:pPr>
    </w:p>
    <w:p w14:paraId="03C997EB" w14:textId="5FD94810" w:rsidR="00683E42" w:rsidRDefault="0088771E" w:rsidP="00683E42">
      <w:pPr>
        <w:pStyle w:val="NoSpacing"/>
        <w:jc w:val="both"/>
      </w:pPr>
      <w:r>
        <w:t>…</w:t>
      </w:r>
      <w:r w:rsidR="00683E42">
        <w:t xml:space="preserve">However, the relationships do not hold </w:t>
      </w:r>
      <w:proofErr w:type="gramStart"/>
      <w:r w:rsidR="00683E42">
        <w:t>precisely</w:t>
      </w:r>
      <w:proofErr w:type="gramEnd"/>
      <w:r w:rsidR="00683E42">
        <w:t xml:space="preserve"> and the Australian dollar has deviated noticeably at times from what these determinants imply. This occurs periodically when shorter-term developments in global financial markets, such as changes in investor attitudes to risk (or ‘risk sentiment’), influence the </w:t>
      </w:r>
      <w:proofErr w:type="spellStart"/>
      <w:r w:rsidR="00683E42">
        <w:t>behaviour</w:t>
      </w:r>
      <w:proofErr w:type="spellEnd"/>
      <w:r w:rsidR="00683E42">
        <w:t xml:space="preserve"> of market participants. For example, during the period of heightened market stress related to the COVID-19 outbreak in March 2020 the RTWI depreciated by more than what </w:t>
      </w:r>
      <w:r>
        <w:t>[was expected].</w:t>
      </w:r>
    </w:p>
    <w:p w14:paraId="51C03383" w14:textId="77777777" w:rsidR="00683E42" w:rsidRPr="00F32627" w:rsidRDefault="00683E42" w:rsidP="00FE3144">
      <w:pPr>
        <w:pStyle w:val="Heading1"/>
      </w:pPr>
      <w:r w:rsidRPr="00F32627">
        <w:t>The role of monetary policy and interest rates</w:t>
      </w:r>
    </w:p>
    <w:p w14:paraId="311FB32B" w14:textId="77777777" w:rsidR="00F32627" w:rsidRDefault="00F32627" w:rsidP="00683E42">
      <w:pPr>
        <w:pStyle w:val="NoSpacing"/>
        <w:jc w:val="both"/>
      </w:pPr>
    </w:p>
    <w:p w14:paraId="5584FFF5" w14:textId="769D3912" w:rsidR="00683E42" w:rsidRDefault="00BB086D" w:rsidP="00683E42">
      <w:pPr>
        <w:pStyle w:val="NoSpacing"/>
        <w:jc w:val="both"/>
      </w:pPr>
      <w:r>
        <w:t>…</w:t>
      </w:r>
      <w:r w:rsidR="00683E42">
        <w:t xml:space="preserve"> </w:t>
      </w:r>
      <w:r w:rsidR="00683E42" w:rsidRPr="00950FA9">
        <w:rPr>
          <w:b/>
          <w:bCs/>
        </w:rPr>
        <w:t>it is ultimately the interest rate differential between Australia and other advanced economies that matters for the exchange rate.</w:t>
      </w:r>
      <w:r w:rsidR="00683E42">
        <w:t xml:space="preserve"> For example, if interest rates in Australia decline relative to those of other advanced economies, returns on Australian dollar assets become less attractive for investors, putting downward pressure on the currency. In contrast, if interest rates in Australia and other economies declined by similar amounts, the interest rate differential would be little changed (other things being equal). In this case there would be little incentive for investors to shift the allocation of their portfolios across economies and little effect on the exchange rate.</w:t>
      </w:r>
    </w:p>
    <w:p w14:paraId="08A35371" w14:textId="77777777" w:rsidR="00FE3144" w:rsidRDefault="00FE3144" w:rsidP="00683E42">
      <w:pPr>
        <w:pStyle w:val="NoSpacing"/>
        <w:jc w:val="both"/>
      </w:pPr>
    </w:p>
    <w:p w14:paraId="5DF28372" w14:textId="77777777" w:rsidR="00987717" w:rsidRDefault="00987717">
      <w:pPr>
        <w:rPr>
          <w:rFonts w:asciiTheme="majorHAnsi" w:eastAsiaTheme="majorEastAsia" w:hAnsiTheme="majorHAnsi" w:cstheme="majorBidi"/>
          <w:color w:val="2F5496" w:themeColor="accent1" w:themeShade="BF"/>
          <w:sz w:val="26"/>
          <w:szCs w:val="26"/>
        </w:rPr>
      </w:pPr>
      <w:r>
        <w:br w:type="page"/>
      </w:r>
    </w:p>
    <w:p w14:paraId="6D0D04D9" w14:textId="3B704ACE" w:rsidR="00683E42" w:rsidRPr="00C92426" w:rsidRDefault="00683E42" w:rsidP="00FE3144">
      <w:pPr>
        <w:pStyle w:val="Heading2"/>
      </w:pPr>
      <w:r w:rsidRPr="00C92426">
        <w:lastRenderedPageBreak/>
        <w:t>Trends in short-term interest rates</w:t>
      </w:r>
    </w:p>
    <w:p w14:paraId="0E342E75" w14:textId="3FD97E54" w:rsidR="009450F5" w:rsidRDefault="009450F5" w:rsidP="00683E42">
      <w:pPr>
        <w:pStyle w:val="NoSpacing"/>
        <w:jc w:val="both"/>
      </w:pPr>
    </w:p>
    <w:p w14:paraId="277FE10F" w14:textId="41E1EAA4" w:rsidR="00683E42" w:rsidRDefault="00987717" w:rsidP="00683E42">
      <w:pPr>
        <w:pStyle w:val="NoSpacing"/>
        <w:jc w:val="both"/>
      </w:pPr>
      <w:r w:rsidRPr="00731C07">
        <w:rPr>
          <w:noProof/>
        </w:rPr>
        <w:drawing>
          <wp:anchor distT="0" distB="0" distL="114300" distR="114300" simplePos="0" relativeHeight="251659264" behindDoc="0" locked="0" layoutInCell="1" allowOverlap="1" wp14:anchorId="0F1659B9" wp14:editId="5E51163C">
            <wp:simplePos x="0" y="0"/>
            <wp:positionH relativeFrom="margin">
              <wp:posOffset>47464</wp:posOffset>
            </wp:positionH>
            <wp:positionV relativeFrom="paragraph">
              <wp:posOffset>969948</wp:posOffset>
            </wp:positionV>
            <wp:extent cx="341185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11855" cy="2026920"/>
                    </a:xfrm>
                    <a:prstGeom prst="rect">
                      <a:avLst/>
                    </a:prstGeom>
                  </pic:spPr>
                </pic:pic>
              </a:graphicData>
            </a:graphic>
            <wp14:sizeRelH relativeFrom="margin">
              <wp14:pctWidth>0</wp14:pctWidth>
            </wp14:sizeRelH>
            <wp14:sizeRelV relativeFrom="margin">
              <wp14:pctHeight>0</wp14:pctHeight>
            </wp14:sizeRelV>
          </wp:anchor>
        </w:drawing>
      </w:r>
      <w:r w:rsidR="00683E42">
        <w:t xml:space="preserve">Policy rates in a number of major advanced economies fell sharply in the aftermath of the global financial crisis and short-term interest rates converged to around zero. In contrast, </w:t>
      </w:r>
      <w:r w:rsidR="00683E42" w:rsidRPr="00F57F57">
        <w:rPr>
          <w:b/>
          <w:bCs/>
        </w:rPr>
        <w:t>policy rates in Australia remained higher</w:t>
      </w:r>
      <w:r w:rsidR="00683E42">
        <w:t xml:space="preserve"> than in most other advanced economies for a number of years following the global financial crisis (Graph 3). This reflected the relatively good performance of the Australian economy over this period, which was related to the resources boom and the associated high level of investment, as well as the relative absence of stresses in the domestic financial system.</w:t>
      </w:r>
    </w:p>
    <w:p w14:paraId="6FE9C966" w14:textId="767D5990" w:rsidR="00683E42" w:rsidRDefault="00987717" w:rsidP="00683E42">
      <w:pPr>
        <w:pStyle w:val="NoSpacing"/>
        <w:jc w:val="both"/>
      </w:pPr>
      <w:r w:rsidRPr="000F30F4">
        <w:rPr>
          <w:noProof/>
        </w:rPr>
        <w:drawing>
          <wp:anchor distT="0" distB="0" distL="114300" distR="114300" simplePos="0" relativeHeight="251660288" behindDoc="0" locked="0" layoutInCell="1" allowOverlap="1" wp14:anchorId="4EB1B81F" wp14:editId="01C9D0F3">
            <wp:simplePos x="0" y="0"/>
            <wp:positionH relativeFrom="margin">
              <wp:align>right</wp:align>
            </wp:positionH>
            <wp:positionV relativeFrom="paragraph">
              <wp:posOffset>8255</wp:posOffset>
            </wp:positionV>
            <wp:extent cx="3002280" cy="2225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02280" cy="2225040"/>
                    </a:xfrm>
                    <a:prstGeom prst="rect">
                      <a:avLst/>
                    </a:prstGeom>
                  </pic:spPr>
                </pic:pic>
              </a:graphicData>
            </a:graphic>
            <wp14:sizeRelH relativeFrom="margin">
              <wp14:pctWidth>0</wp14:pctWidth>
            </wp14:sizeRelH>
            <wp14:sizeRelV relativeFrom="margin">
              <wp14:pctHeight>0</wp14:pctHeight>
            </wp14:sizeRelV>
          </wp:anchor>
        </w:drawing>
      </w:r>
    </w:p>
    <w:p w14:paraId="25E49D11" w14:textId="3135BC30" w:rsidR="00FA7BB6" w:rsidRDefault="00FA7BB6" w:rsidP="00683E42">
      <w:pPr>
        <w:pStyle w:val="NoSpacing"/>
        <w:jc w:val="both"/>
      </w:pPr>
    </w:p>
    <w:p w14:paraId="5A33074C" w14:textId="6A7FC807" w:rsidR="00683E42" w:rsidRDefault="00683E42" w:rsidP="00683E42">
      <w:pPr>
        <w:pStyle w:val="NoSpacing"/>
        <w:jc w:val="both"/>
      </w:pPr>
      <w:r>
        <w:t>Since 2013, the Reserve Bank has eased monetary policy, reducing the policy rate from 3 per cent to 0.1 per cent. The interest rate on 3-year Australian Government Securities (AGS) declined and the Reserve Bank introduced a 3-year yield target on AGS in March 2020 that was adjusted in November 2020 to be 0.1 per cent. Australia's 3-year interest rate differential with other major advanced economies has declined by more than 2 percentage points; this decline has been one of the main drivers behind the depreciation of the Australian dollar over this period (Graph 4).</w:t>
      </w:r>
    </w:p>
    <w:p w14:paraId="72ABC5E6" w14:textId="1E3DD004" w:rsidR="00683E42" w:rsidRDefault="00683E42" w:rsidP="00683E42">
      <w:pPr>
        <w:pStyle w:val="NoSpacing"/>
        <w:jc w:val="both"/>
      </w:pPr>
    </w:p>
    <w:p w14:paraId="7C29E332" w14:textId="77777777" w:rsidR="000D28C5" w:rsidRDefault="000D28C5" w:rsidP="000D28C5">
      <w:pPr>
        <w:pStyle w:val="NoSpacing"/>
        <w:jc w:val="both"/>
        <w:rPr>
          <w:b/>
          <w:bCs/>
        </w:rPr>
      </w:pPr>
      <w:r w:rsidRPr="00683E42">
        <w:rPr>
          <w:b/>
          <w:bCs/>
        </w:rPr>
        <w:t>Questions</w:t>
      </w:r>
    </w:p>
    <w:p w14:paraId="3FF4E8C4" w14:textId="77777777" w:rsidR="000D28C5" w:rsidRPr="000D28C5" w:rsidRDefault="000D28C5" w:rsidP="000D28C5">
      <w:pPr>
        <w:pStyle w:val="NoSpacing"/>
        <w:numPr>
          <w:ilvl w:val="0"/>
          <w:numId w:val="2"/>
        </w:numPr>
        <w:jc w:val="both"/>
        <w:rPr>
          <w:b/>
          <w:bCs/>
        </w:rPr>
      </w:pPr>
      <w:r w:rsidRPr="000D28C5">
        <w:rPr>
          <w:b/>
          <w:bCs/>
        </w:rPr>
        <w:t>Define the terms of trade and the interest rate differential.</w:t>
      </w:r>
    </w:p>
    <w:p w14:paraId="31926EC3" w14:textId="77777777" w:rsidR="000D28C5" w:rsidRPr="000D28C5" w:rsidRDefault="000D28C5" w:rsidP="000D28C5">
      <w:pPr>
        <w:pStyle w:val="NoSpacing"/>
        <w:numPr>
          <w:ilvl w:val="0"/>
          <w:numId w:val="2"/>
        </w:numPr>
        <w:jc w:val="both"/>
        <w:rPr>
          <w:b/>
          <w:bCs/>
        </w:rPr>
      </w:pPr>
      <w:r w:rsidRPr="000D28C5">
        <w:rPr>
          <w:b/>
          <w:bCs/>
        </w:rPr>
        <w:t>Explain how the terms of trade and the interest rate differential influenced Australia’s exchange rate up to March 2020.</w:t>
      </w:r>
    </w:p>
    <w:p w14:paraId="59AFF439" w14:textId="77777777" w:rsidR="000D28C5" w:rsidRPr="000D28C5" w:rsidRDefault="000D28C5" w:rsidP="000D28C5">
      <w:pPr>
        <w:pStyle w:val="NoSpacing"/>
        <w:numPr>
          <w:ilvl w:val="0"/>
          <w:numId w:val="2"/>
        </w:numPr>
        <w:jc w:val="both"/>
        <w:rPr>
          <w:b/>
          <w:bCs/>
        </w:rPr>
      </w:pPr>
      <w:r w:rsidRPr="000D28C5">
        <w:rPr>
          <w:b/>
          <w:bCs/>
        </w:rPr>
        <w:t>Outline the relationship between commodity prices and the terms of trade.</w:t>
      </w:r>
    </w:p>
    <w:p w14:paraId="4E391030" w14:textId="77777777" w:rsidR="000D28C5" w:rsidRPr="000D28C5" w:rsidRDefault="000D28C5" w:rsidP="000D28C5">
      <w:pPr>
        <w:pStyle w:val="NoSpacing"/>
        <w:numPr>
          <w:ilvl w:val="0"/>
          <w:numId w:val="2"/>
        </w:numPr>
        <w:jc w:val="both"/>
        <w:rPr>
          <w:b/>
          <w:bCs/>
        </w:rPr>
      </w:pPr>
      <w:r w:rsidRPr="000D28C5">
        <w:rPr>
          <w:b/>
          <w:bCs/>
        </w:rPr>
        <w:t>Explain why Australia’s exchange rate has appreciated since early 2020.</w:t>
      </w:r>
    </w:p>
    <w:p w14:paraId="7E2EE756" w14:textId="77777777" w:rsidR="000D28C5" w:rsidRPr="000D28C5" w:rsidRDefault="000D28C5" w:rsidP="000D28C5">
      <w:pPr>
        <w:pStyle w:val="NoSpacing"/>
        <w:numPr>
          <w:ilvl w:val="0"/>
          <w:numId w:val="2"/>
        </w:numPr>
        <w:jc w:val="both"/>
        <w:rPr>
          <w:b/>
          <w:bCs/>
        </w:rPr>
      </w:pPr>
      <w:proofErr w:type="spellStart"/>
      <w:r w:rsidRPr="000D28C5">
        <w:rPr>
          <w:b/>
          <w:bCs/>
        </w:rPr>
        <w:t>Analyse</w:t>
      </w:r>
      <w:proofErr w:type="spellEnd"/>
      <w:r w:rsidRPr="000D28C5">
        <w:rPr>
          <w:b/>
          <w:bCs/>
        </w:rPr>
        <w:t xml:space="preserve"> the impact on Australia’s exchange rate if the RBA loosened monetary policy (</w:t>
      </w:r>
      <w:proofErr w:type="gramStart"/>
      <w:r w:rsidRPr="000D28C5">
        <w:rPr>
          <w:b/>
          <w:bCs/>
        </w:rPr>
        <w:t>i.e.</w:t>
      </w:r>
      <w:proofErr w:type="gramEnd"/>
      <w:r w:rsidRPr="000D28C5">
        <w:rPr>
          <w:b/>
          <w:bCs/>
        </w:rPr>
        <w:t xml:space="preserve"> decreased interest rates) if all other countries loosen monetary policy to the same degree.</w:t>
      </w:r>
    </w:p>
    <w:p w14:paraId="686DCFA4" w14:textId="77777777" w:rsidR="000D28C5" w:rsidRPr="000D28C5" w:rsidRDefault="000D28C5" w:rsidP="000D28C5">
      <w:pPr>
        <w:pStyle w:val="NoSpacing"/>
        <w:numPr>
          <w:ilvl w:val="0"/>
          <w:numId w:val="2"/>
        </w:numPr>
        <w:jc w:val="both"/>
        <w:rPr>
          <w:b/>
          <w:bCs/>
        </w:rPr>
      </w:pPr>
      <w:r w:rsidRPr="000D28C5">
        <w:rPr>
          <w:b/>
          <w:bCs/>
        </w:rPr>
        <w:t>Explain why the RBA was slower to reduce the cash rate (policy interest rate) in Australia after the GFC.</w:t>
      </w:r>
    </w:p>
    <w:p w14:paraId="57C3BB17" w14:textId="57FF9794" w:rsidR="000D28C5" w:rsidRDefault="000D28C5" w:rsidP="000D28C5">
      <w:pPr>
        <w:pStyle w:val="NoSpacing"/>
        <w:numPr>
          <w:ilvl w:val="0"/>
          <w:numId w:val="2"/>
        </w:numPr>
        <w:jc w:val="both"/>
        <w:rPr>
          <w:b/>
          <w:bCs/>
        </w:rPr>
      </w:pPr>
      <w:r w:rsidRPr="000D28C5">
        <w:rPr>
          <w:b/>
          <w:bCs/>
        </w:rPr>
        <w:t>Refer to graph 4 and outline the implications of the change in ‘interest rate differential rates’ between Australia and other advanced economies since 2017.</w:t>
      </w:r>
    </w:p>
    <w:p w14:paraId="0366FF9B" w14:textId="77777777" w:rsidR="00420D7B" w:rsidRPr="000D28C5" w:rsidRDefault="00420D7B" w:rsidP="00420D7B">
      <w:pPr>
        <w:pStyle w:val="NoSpacing"/>
        <w:ind w:left="360"/>
        <w:jc w:val="both"/>
        <w:rPr>
          <w:b/>
          <w:bCs/>
        </w:rPr>
      </w:pPr>
    </w:p>
    <w:p w14:paraId="0ABC9F0B" w14:textId="77777777" w:rsidR="00683E42" w:rsidRPr="0057285A" w:rsidRDefault="00683E42" w:rsidP="00FE3144">
      <w:pPr>
        <w:pStyle w:val="Heading2"/>
      </w:pPr>
      <w:r w:rsidRPr="0057285A">
        <w:t>Unconventional policy measures and the exchange rate</w:t>
      </w:r>
    </w:p>
    <w:p w14:paraId="3C62A8C6" w14:textId="77777777" w:rsidR="0057285A" w:rsidRDefault="0057285A" w:rsidP="00683E42">
      <w:pPr>
        <w:pStyle w:val="NoSpacing"/>
        <w:jc w:val="both"/>
      </w:pPr>
    </w:p>
    <w:p w14:paraId="012E18BB" w14:textId="43EED4B3" w:rsidR="00683E42" w:rsidRDefault="00683E42" w:rsidP="00683E42">
      <w:pPr>
        <w:pStyle w:val="NoSpacing"/>
        <w:jc w:val="both"/>
      </w:pPr>
      <w:r>
        <w:t xml:space="preserve">As policy rates reached </w:t>
      </w:r>
      <w:proofErr w:type="gramStart"/>
      <w:r>
        <w:t>very low</w:t>
      </w:r>
      <w:proofErr w:type="gramEnd"/>
      <w:r>
        <w:t xml:space="preserve"> levels, a number of central banks introduced unconventional policies, such as </w:t>
      </w:r>
      <w:r w:rsidRPr="00415242">
        <w:rPr>
          <w:b/>
          <w:bCs/>
        </w:rPr>
        <w:t>quantitative easing measures</w:t>
      </w:r>
      <w:r>
        <w:t>, whereby central banks purchase government bonds in the secondary market with the aim of lowering longer-term interest rates. In doing so, these quantitative easing measures also affect the exchange rate. There are 2 widely discussed channels in the literature through which quantitative easing policies flow through to interest rates and the exchange rate:[4]</w:t>
      </w:r>
    </w:p>
    <w:p w14:paraId="60776618" w14:textId="77777777" w:rsidR="00683E42" w:rsidRDefault="00683E42" w:rsidP="00683E42">
      <w:pPr>
        <w:pStyle w:val="NoSpacing"/>
        <w:jc w:val="both"/>
      </w:pPr>
    </w:p>
    <w:p w14:paraId="5F948E58" w14:textId="3304F754" w:rsidR="00683E42" w:rsidRDefault="00683E42" w:rsidP="00683E42">
      <w:pPr>
        <w:pStyle w:val="NoSpacing"/>
        <w:jc w:val="both"/>
      </w:pPr>
      <w:r w:rsidRPr="00C71CC0">
        <w:rPr>
          <w:b/>
          <w:bCs/>
        </w:rPr>
        <w:t xml:space="preserve">The </w:t>
      </w:r>
      <w:proofErr w:type="spellStart"/>
      <w:r w:rsidRPr="00C71CC0">
        <w:rPr>
          <w:b/>
          <w:bCs/>
        </w:rPr>
        <w:t>signalling</w:t>
      </w:r>
      <w:proofErr w:type="spellEnd"/>
      <w:r w:rsidRPr="00C71CC0">
        <w:rPr>
          <w:b/>
          <w:bCs/>
        </w:rPr>
        <w:t xml:space="preserve"> channel:</w:t>
      </w:r>
      <w:r>
        <w:t xml:space="preserve"> the announcement of quantitative easing serves as a commitment by the central bank to keep short-term policy rates at a low level for an extended period of time. The structure of interest rates is lowered as longer-term interest rates respond to expectations about the future path of short-term interest rates. The importance of this channel depends on the extent to which market participants would have otherwise expected a higher policy rate.</w:t>
      </w:r>
    </w:p>
    <w:p w14:paraId="609120CA" w14:textId="77777777" w:rsidR="003D2E87" w:rsidRDefault="003D2E87" w:rsidP="00683E42">
      <w:pPr>
        <w:pStyle w:val="NoSpacing"/>
        <w:jc w:val="both"/>
      </w:pPr>
    </w:p>
    <w:p w14:paraId="6125B34A" w14:textId="1B7CAD13" w:rsidR="00683E42" w:rsidRDefault="00683E42" w:rsidP="00683E42">
      <w:pPr>
        <w:pStyle w:val="NoSpacing"/>
        <w:jc w:val="both"/>
      </w:pPr>
      <w:r w:rsidRPr="003D2E87">
        <w:rPr>
          <w:b/>
          <w:bCs/>
        </w:rPr>
        <w:t>The portfolio balance channel</w:t>
      </w:r>
      <w:r>
        <w:t xml:space="preserve">: when the central bank purchases government bonds with longer maturities, the prices of these assets </w:t>
      </w:r>
      <w:proofErr w:type="gramStart"/>
      <w:r>
        <w:t>rise</w:t>
      </w:r>
      <w:proofErr w:type="gramEnd"/>
      <w:r>
        <w:t xml:space="preserve"> and interest rates decline. This can induce investors to rebalance their portfolios away from government bonds towards other assets with higher returns. If investors rebalance their portfolios towards offshore assets, this is likely to result in a depreciation of the exchange rate.</w:t>
      </w:r>
    </w:p>
    <w:p w14:paraId="19086ED2" w14:textId="77777777" w:rsidR="00D03909" w:rsidRDefault="00D03909" w:rsidP="00683E42">
      <w:pPr>
        <w:pStyle w:val="NoSpacing"/>
        <w:jc w:val="both"/>
      </w:pPr>
    </w:p>
    <w:p w14:paraId="7E5BF83E" w14:textId="69342CFD" w:rsidR="00683E42" w:rsidRDefault="00683E42" w:rsidP="00683E42">
      <w:pPr>
        <w:pStyle w:val="NoSpacing"/>
        <w:jc w:val="both"/>
      </w:pPr>
      <w:r>
        <w:t xml:space="preserve">A number of international studies have examined the effect of quantitative easing measures on macroeconomic and financial variables. There is a broad consensus in the literature that asset purchase programs </w:t>
      </w:r>
      <w:r w:rsidRPr="00992DB0">
        <w:rPr>
          <w:b/>
          <w:bCs/>
        </w:rPr>
        <w:t>expand central banks' balance sheets</w:t>
      </w:r>
      <w:r>
        <w:t xml:space="preserve">, lower interest rates on government bonds, and contribute to the exchange rate being lower than otherwise, albeit by varying degrees (see below). In general, the effect of quantitative easing is conceptually comparable to the effect of an easing in conventional monetary policy, in that it lowers interest </w:t>
      </w:r>
      <w:proofErr w:type="gramStart"/>
      <w:r>
        <w:t>rates</w:t>
      </w:r>
      <w:proofErr w:type="gramEnd"/>
      <w:r>
        <w:t xml:space="preserve"> and this leads to a depreciation in the exchange rate, all else equal.</w:t>
      </w:r>
    </w:p>
    <w:p w14:paraId="11AEE358" w14:textId="7D545CFD" w:rsidR="00BB167A" w:rsidRDefault="00BB167A" w:rsidP="00683E42">
      <w:pPr>
        <w:pStyle w:val="NoSpacing"/>
        <w:jc w:val="both"/>
      </w:pPr>
    </w:p>
    <w:p w14:paraId="5E3DCAAA" w14:textId="77777777" w:rsidR="00BB167A" w:rsidRDefault="00BB167A" w:rsidP="00BB167A">
      <w:pPr>
        <w:pStyle w:val="NoSpacing"/>
        <w:jc w:val="both"/>
        <w:rPr>
          <w:b/>
          <w:bCs/>
        </w:rPr>
      </w:pPr>
      <w:r w:rsidRPr="00683E42">
        <w:rPr>
          <w:b/>
          <w:bCs/>
        </w:rPr>
        <w:t>Questions</w:t>
      </w:r>
    </w:p>
    <w:p w14:paraId="7B329E50" w14:textId="77777777" w:rsidR="00BB167A" w:rsidRDefault="00BB167A" w:rsidP="00BB167A">
      <w:pPr>
        <w:pStyle w:val="NoSpacing"/>
        <w:numPr>
          <w:ilvl w:val="0"/>
          <w:numId w:val="2"/>
        </w:numPr>
        <w:jc w:val="both"/>
        <w:rPr>
          <w:b/>
          <w:bCs/>
        </w:rPr>
      </w:pPr>
      <w:r>
        <w:rPr>
          <w:b/>
          <w:bCs/>
        </w:rPr>
        <w:t xml:space="preserve">Explain what is meant by </w:t>
      </w:r>
      <w:r w:rsidRPr="00415242">
        <w:rPr>
          <w:b/>
          <w:bCs/>
        </w:rPr>
        <w:t>quantitative easing measures</w:t>
      </w:r>
      <w:r>
        <w:rPr>
          <w:b/>
          <w:bCs/>
        </w:rPr>
        <w:t>.</w:t>
      </w:r>
    </w:p>
    <w:p w14:paraId="5FF04B5C" w14:textId="77777777" w:rsidR="00BB167A" w:rsidRDefault="00BB167A" w:rsidP="00BB167A">
      <w:pPr>
        <w:pStyle w:val="NoSpacing"/>
        <w:numPr>
          <w:ilvl w:val="0"/>
          <w:numId w:val="2"/>
        </w:numPr>
        <w:jc w:val="both"/>
        <w:rPr>
          <w:b/>
          <w:bCs/>
        </w:rPr>
      </w:pPr>
      <w:r>
        <w:rPr>
          <w:b/>
          <w:bCs/>
        </w:rPr>
        <w:t xml:space="preserve">Explain how </w:t>
      </w:r>
      <w:r w:rsidRPr="00415242">
        <w:rPr>
          <w:b/>
          <w:bCs/>
        </w:rPr>
        <w:t>quantitative easing</w:t>
      </w:r>
      <w:r>
        <w:rPr>
          <w:b/>
          <w:bCs/>
        </w:rPr>
        <w:t xml:space="preserve"> reduce both interest rates and exchange rates.</w:t>
      </w:r>
    </w:p>
    <w:p w14:paraId="208802A2" w14:textId="04A68AAD" w:rsidR="00BB167A" w:rsidRDefault="00BB167A" w:rsidP="00BB167A">
      <w:pPr>
        <w:pStyle w:val="NoSpacing"/>
        <w:numPr>
          <w:ilvl w:val="0"/>
          <w:numId w:val="2"/>
        </w:numPr>
        <w:jc w:val="both"/>
        <w:rPr>
          <w:b/>
          <w:bCs/>
        </w:rPr>
      </w:pPr>
      <w:r>
        <w:rPr>
          <w:b/>
          <w:bCs/>
        </w:rPr>
        <w:t>Explain what it means to ‘</w:t>
      </w:r>
      <w:r w:rsidRPr="00992DB0">
        <w:rPr>
          <w:b/>
          <w:bCs/>
        </w:rPr>
        <w:t xml:space="preserve">expand </w:t>
      </w:r>
      <w:r>
        <w:rPr>
          <w:b/>
          <w:bCs/>
        </w:rPr>
        <w:t>a</w:t>
      </w:r>
      <w:r w:rsidRPr="00992DB0">
        <w:rPr>
          <w:b/>
          <w:bCs/>
        </w:rPr>
        <w:t xml:space="preserve"> balance sheet</w:t>
      </w:r>
      <w:r>
        <w:rPr>
          <w:b/>
          <w:bCs/>
        </w:rPr>
        <w:t>’.</w:t>
      </w:r>
    </w:p>
    <w:p w14:paraId="0422B4D7" w14:textId="77777777" w:rsidR="000415DA" w:rsidRDefault="000415DA" w:rsidP="000415DA">
      <w:pPr>
        <w:pStyle w:val="NoSpacing"/>
        <w:ind w:left="360"/>
        <w:jc w:val="both"/>
        <w:rPr>
          <w:b/>
          <w:bCs/>
        </w:rPr>
      </w:pPr>
    </w:p>
    <w:p w14:paraId="65E1876F" w14:textId="1D75E177" w:rsidR="00683E42" w:rsidRDefault="00683E42" w:rsidP="00FE3144">
      <w:pPr>
        <w:pStyle w:val="Heading2"/>
      </w:pPr>
      <w:r>
        <w:t>The introduction of quantitative easing in Australia and the exchange rate</w:t>
      </w:r>
    </w:p>
    <w:p w14:paraId="4E575AFC" w14:textId="77777777" w:rsidR="002E353A" w:rsidRDefault="002E353A" w:rsidP="00683E42">
      <w:pPr>
        <w:pStyle w:val="NoSpacing"/>
        <w:jc w:val="both"/>
      </w:pPr>
    </w:p>
    <w:p w14:paraId="1815AB82" w14:textId="6DB11942" w:rsidR="00683E42" w:rsidRDefault="00683E42" w:rsidP="00683E42">
      <w:pPr>
        <w:pStyle w:val="NoSpacing"/>
        <w:jc w:val="both"/>
      </w:pPr>
      <w:r>
        <w:t xml:space="preserve">In November 2020, the Reserve Bank introduced a bond purchase program that complemented the package of measures that had been introduced earlier in 2020, including the 3-year yield target. The </w:t>
      </w:r>
      <w:r w:rsidRPr="00FB6308">
        <w:rPr>
          <w:b/>
          <w:bCs/>
        </w:rPr>
        <w:t>bond purchase program</w:t>
      </w:r>
      <w:r>
        <w:t xml:space="preserve"> included purchasing $100 billion of AGS at maturities of around 5 to 10 years over a period of about 6 months. These measures have helped to lower interest rates in the Australian economy and has meant that the Australian dollar is lower than otherwise. One reason for introducing the bond purchase program was that </w:t>
      </w:r>
      <w:r w:rsidRPr="00B05A7C">
        <w:rPr>
          <w:b/>
          <w:bCs/>
        </w:rPr>
        <w:t>longer-term interest rates</w:t>
      </w:r>
      <w:r>
        <w:t xml:space="preserve"> in Australia were higher than those in other advanced economies because central banks abroad had introduced new or expanded asset purchase programs in response to the economic and financial disruptions associated with the </w:t>
      </w:r>
      <w:proofErr w:type="gramStart"/>
      <w:r>
        <w:t>pandemic</w:t>
      </w:r>
      <w:r w:rsidR="00BB167A">
        <w:t xml:space="preserve">,  </w:t>
      </w:r>
      <w:r>
        <w:t>Relatively</w:t>
      </w:r>
      <w:proofErr w:type="gramEnd"/>
      <w:r>
        <w:t xml:space="preserve"> high longer-term interest rates in Australia following the peak of the crisis in March 2020 contributed to upward pressure on the Australian dollar exchange rate.</w:t>
      </w:r>
    </w:p>
    <w:p w14:paraId="12614936" w14:textId="77777777" w:rsidR="00683E42" w:rsidRDefault="00683E42" w:rsidP="00683E42">
      <w:pPr>
        <w:pStyle w:val="NoSpacing"/>
        <w:jc w:val="both"/>
      </w:pPr>
    </w:p>
    <w:p w14:paraId="2AD5B083" w14:textId="4A8A39FC" w:rsidR="00683E42" w:rsidRDefault="00B37A66" w:rsidP="00683E42">
      <w:pPr>
        <w:pStyle w:val="NoSpacing"/>
        <w:jc w:val="both"/>
      </w:pPr>
      <w:r w:rsidRPr="00B37A66">
        <w:rPr>
          <w:noProof/>
        </w:rPr>
        <w:drawing>
          <wp:anchor distT="0" distB="0" distL="114300" distR="114300" simplePos="0" relativeHeight="251661312" behindDoc="0" locked="0" layoutInCell="1" allowOverlap="1" wp14:anchorId="45589456" wp14:editId="44E7F6EF">
            <wp:simplePos x="0" y="0"/>
            <wp:positionH relativeFrom="margin">
              <wp:posOffset>3759835</wp:posOffset>
            </wp:positionH>
            <wp:positionV relativeFrom="paragraph">
              <wp:posOffset>12065</wp:posOffset>
            </wp:positionV>
            <wp:extent cx="3098800" cy="25088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E42">
        <w:t xml:space="preserve">In the months leading up to the announcement of the bond purchase program in November 2020, market participants anticipated further policy easing by the Reserve Bank. The interest rates on 3-year and 10-year AGS declined and the </w:t>
      </w:r>
      <w:r w:rsidR="00683E42" w:rsidRPr="003A2F87">
        <w:rPr>
          <w:b/>
          <w:bCs/>
        </w:rPr>
        <w:t>Australian dollar depreciated</w:t>
      </w:r>
      <w:r w:rsidR="00683E42">
        <w:t xml:space="preserve"> </w:t>
      </w:r>
      <w:r w:rsidR="00683E42" w:rsidRPr="00BC1869">
        <w:rPr>
          <w:b/>
          <w:bCs/>
        </w:rPr>
        <w:t>by around 5 per cent on a TWI basis over the period from early September to early November</w:t>
      </w:r>
      <w:r w:rsidR="00683E42">
        <w:t xml:space="preserve"> (Graph 6). </w:t>
      </w:r>
      <w:r w:rsidR="00116C06">
        <w:t>..</w:t>
      </w:r>
      <w:r w:rsidR="00683E42">
        <w:t>. Despite the high degree of uncertainty around estimating the effect of the bond purchase program on the exchange rate, the decline in interest rate differentials that occurred over this period would typically suggest around a 1 to 2 per cent depreciation based on historical relationships. However, it is possible that a larger share of the observed depreciation could also be attributed to the decline in interest rates and the bond purchase program.</w:t>
      </w:r>
    </w:p>
    <w:p w14:paraId="62E16655" w14:textId="6DF20DE2" w:rsidR="00683E42" w:rsidRDefault="00683E42" w:rsidP="00683E42">
      <w:pPr>
        <w:pStyle w:val="NoSpacing"/>
        <w:jc w:val="both"/>
      </w:pPr>
    </w:p>
    <w:p w14:paraId="7C1FB56C" w14:textId="1913F128" w:rsidR="00683E42" w:rsidRDefault="00683E42" w:rsidP="00683E42">
      <w:pPr>
        <w:pStyle w:val="NoSpacing"/>
        <w:jc w:val="both"/>
      </w:pPr>
      <w:r>
        <w:t xml:space="preserve">Since </w:t>
      </w:r>
      <w:proofErr w:type="gramStart"/>
      <w:r>
        <w:t>November 2020</w:t>
      </w:r>
      <w:proofErr w:type="gramEnd"/>
      <w:r>
        <w:t xml:space="preserve"> the exchange rate has appreciated, consistent with the increase in commodity prices which has occurred against the backdrop of more positive sentiment about a recovery in global growth (see below). Then in February, the Reserve Bank announced that it would purchase an additional $100 billion of bonds when the current bond purchase program is completed. There was little additional effect on the exchange rate from this announcement, which suggests that it had already been largely anticipated by markets.</w:t>
      </w:r>
    </w:p>
    <w:p w14:paraId="677FFBAD" w14:textId="77777777" w:rsidR="00683E42" w:rsidRDefault="00683E42" w:rsidP="00683E42">
      <w:pPr>
        <w:pStyle w:val="NoSpacing"/>
        <w:jc w:val="both"/>
      </w:pPr>
    </w:p>
    <w:p w14:paraId="33E6F709" w14:textId="77777777" w:rsidR="00683E42" w:rsidRDefault="00683E42" w:rsidP="00683E42">
      <w:pPr>
        <w:pStyle w:val="NoSpacing"/>
        <w:jc w:val="both"/>
      </w:pPr>
      <w:proofErr w:type="gramStart"/>
      <w:r>
        <w:lastRenderedPageBreak/>
        <w:t>So</w:t>
      </w:r>
      <w:proofErr w:type="gramEnd"/>
      <w:r>
        <w:t xml:space="preserve"> while there is uncertainty around estimates of the effect, by lowering the structure of interest rates in the Australian economy, the Reserve Bank's policy measures have contributed to a noticeably lower exchange rate than otherwise.</w:t>
      </w:r>
    </w:p>
    <w:p w14:paraId="0D2A1358" w14:textId="77777777" w:rsidR="00987717" w:rsidRDefault="00987717" w:rsidP="00987717">
      <w:pPr>
        <w:pStyle w:val="NoSpacing"/>
        <w:jc w:val="both"/>
        <w:rPr>
          <w:b/>
          <w:bCs/>
        </w:rPr>
      </w:pPr>
    </w:p>
    <w:p w14:paraId="3CA238B5" w14:textId="366649CD" w:rsidR="00987717" w:rsidRDefault="00987717" w:rsidP="00987717">
      <w:pPr>
        <w:pStyle w:val="NoSpacing"/>
        <w:jc w:val="both"/>
        <w:rPr>
          <w:b/>
          <w:bCs/>
        </w:rPr>
      </w:pPr>
      <w:r w:rsidRPr="00683E42">
        <w:rPr>
          <w:b/>
          <w:bCs/>
        </w:rPr>
        <w:t>Questions</w:t>
      </w:r>
    </w:p>
    <w:p w14:paraId="3B8FB048" w14:textId="77777777" w:rsidR="000415DA" w:rsidRDefault="000415DA" w:rsidP="000415DA">
      <w:pPr>
        <w:pStyle w:val="NoSpacing"/>
        <w:numPr>
          <w:ilvl w:val="0"/>
          <w:numId w:val="2"/>
        </w:numPr>
        <w:jc w:val="both"/>
        <w:rPr>
          <w:b/>
          <w:bCs/>
        </w:rPr>
      </w:pPr>
      <w:r>
        <w:rPr>
          <w:b/>
          <w:bCs/>
        </w:rPr>
        <w:t xml:space="preserve">Describe the unconventional monetary policy </w:t>
      </w:r>
      <w:r w:rsidRPr="00415242">
        <w:rPr>
          <w:b/>
          <w:bCs/>
        </w:rPr>
        <w:t>measures</w:t>
      </w:r>
      <w:r>
        <w:rPr>
          <w:b/>
          <w:bCs/>
        </w:rPr>
        <w:t xml:space="preserve"> introduced by the RBA in 2020. </w:t>
      </w:r>
    </w:p>
    <w:p w14:paraId="126A9965" w14:textId="77777777" w:rsidR="000415DA" w:rsidRDefault="000415DA" w:rsidP="000415DA">
      <w:pPr>
        <w:pStyle w:val="NoSpacing"/>
        <w:numPr>
          <w:ilvl w:val="0"/>
          <w:numId w:val="2"/>
        </w:numPr>
        <w:jc w:val="both"/>
        <w:rPr>
          <w:b/>
          <w:bCs/>
        </w:rPr>
      </w:pPr>
      <w:r>
        <w:rPr>
          <w:b/>
          <w:bCs/>
        </w:rPr>
        <w:t xml:space="preserve">Explain how these unconventional monetary policy </w:t>
      </w:r>
      <w:r w:rsidRPr="00415242">
        <w:rPr>
          <w:b/>
          <w:bCs/>
        </w:rPr>
        <w:t>measures</w:t>
      </w:r>
      <w:r>
        <w:rPr>
          <w:b/>
          <w:bCs/>
        </w:rPr>
        <w:t xml:space="preserve"> helped to reduce longer term interest rates in Australia.</w:t>
      </w:r>
    </w:p>
    <w:p w14:paraId="1E8B6600" w14:textId="77777777" w:rsidR="000415DA" w:rsidRDefault="000415DA" w:rsidP="000415DA">
      <w:pPr>
        <w:pStyle w:val="NoSpacing"/>
        <w:numPr>
          <w:ilvl w:val="0"/>
          <w:numId w:val="2"/>
        </w:numPr>
        <w:jc w:val="both"/>
        <w:rPr>
          <w:b/>
          <w:bCs/>
        </w:rPr>
      </w:pPr>
      <w:r>
        <w:rPr>
          <w:b/>
          <w:bCs/>
        </w:rPr>
        <w:t xml:space="preserve">Explain why the RBA felt the need to introduce these unconventional monetary policy </w:t>
      </w:r>
      <w:r w:rsidRPr="00415242">
        <w:rPr>
          <w:b/>
          <w:bCs/>
        </w:rPr>
        <w:t>measures</w:t>
      </w:r>
      <w:r>
        <w:rPr>
          <w:b/>
          <w:bCs/>
        </w:rPr>
        <w:t xml:space="preserve"> when it already reduced the target cash rate to the lowest rate on record.</w:t>
      </w:r>
    </w:p>
    <w:p w14:paraId="64D4CB37" w14:textId="77777777" w:rsidR="000415DA" w:rsidRDefault="000415DA" w:rsidP="000415DA">
      <w:pPr>
        <w:pStyle w:val="NoSpacing"/>
        <w:numPr>
          <w:ilvl w:val="0"/>
          <w:numId w:val="2"/>
        </w:numPr>
        <w:jc w:val="both"/>
        <w:rPr>
          <w:b/>
          <w:bCs/>
        </w:rPr>
      </w:pPr>
      <w:r>
        <w:rPr>
          <w:b/>
          <w:bCs/>
        </w:rPr>
        <w:t>Define the Trade Weighted Index (TWI).</w:t>
      </w:r>
    </w:p>
    <w:p w14:paraId="5284E62E" w14:textId="77777777" w:rsidR="000415DA" w:rsidRDefault="000415DA" w:rsidP="000415DA">
      <w:pPr>
        <w:pStyle w:val="NoSpacing"/>
        <w:numPr>
          <w:ilvl w:val="0"/>
          <w:numId w:val="2"/>
        </w:numPr>
        <w:jc w:val="both"/>
        <w:rPr>
          <w:b/>
          <w:bCs/>
        </w:rPr>
      </w:pPr>
      <w:r>
        <w:rPr>
          <w:b/>
          <w:bCs/>
        </w:rPr>
        <w:t xml:space="preserve">Refer to Graph 6 and describe the movement in the TWI between </w:t>
      </w:r>
      <w:r w:rsidRPr="00BC1869">
        <w:rPr>
          <w:b/>
          <w:bCs/>
        </w:rPr>
        <w:t>early September to early November</w:t>
      </w:r>
      <w:r>
        <w:rPr>
          <w:b/>
          <w:bCs/>
        </w:rPr>
        <w:t xml:space="preserve"> 2020.</w:t>
      </w:r>
    </w:p>
    <w:p w14:paraId="245191E6" w14:textId="77777777" w:rsidR="000415DA" w:rsidRDefault="000415DA" w:rsidP="00683E42">
      <w:pPr>
        <w:pStyle w:val="NoSpacing"/>
        <w:jc w:val="both"/>
      </w:pPr>
    </w:p>
    <w:p w14:paraId="720BD806" w14:textId="77777777" w:rsidR="00683E42" w:rsidRDefault="00683E42" w:rsidP="00FE3144">
      <w:pPr>
        <w:pStyle w:val="Heading2"/>
      </w:pPr>
      <w:r>
        <w:t>Evidence on the relationship between interest rates and the exchange rate</w:t>
      </w:r>
    </w:p>
    <w:p w14:paraId="0EFB3590" w14:textId="77777777" w:rsidR="00FE3144" w:rsidRDefault="00FE3144" w:rsidP="00683E42">
      <w:pPr>
        <w:pStyle w:val="NoSpacing"/>
        <w:jc w:val="both"/>
      </w:pPr>
    </w:p>
    <w:p w14:paraId="30CDCD76" w14:textId="1CB844FB" w:rsidR="00683E42" w:rsidRDefault="00683E42" w:rsidP="00683E42">
      <w:pPr>
        <w:pStyle w:val="NoSpacing"/>
        <w:jc w:val="both"/>
      </w:pPr>
      <w:r>
        <w:t xml:space="preserve">Both </w:t>
      </w:r>
      <w:r w:rsidRPr="006B0FAC">
        <w:rPr>
          <w:b/>
          <w:bCs/>
        </w:rPr>
        <w:t xml:space="preserve">conventional policy </w:t>
      </w:r>
      <w:proofErr w:type="gramStart"/>
      <w:r w:rsidRPr="006B0FAC">
        <w:rPr>
          <w:b/>
          <w:bCs/>
        </w:rPr>
        <w:t>easing</w:t>
      </w:r>
      <w:proofErr w:type="gramEnd"/>
      <w:r w:rsidRPr="006B0FAC">
        <w:rPr>
          <w:b/>
          <w:bCs/>
        </w:rPr>
        <w:t xml:space="preserve"> and quantitative easing measures</w:t>
      </w:r>
      <w:r>
        <w:t xml:space="preserve"> lower the structure of interest rates in an economy and result in a depreciation of the exchange rate all else being equal. However, the maturities of interest rates that are affected will be different and there is a wide range of estimates around the size of the effect on the exchange rate. As a result, an important question that has emerged has been how changes in different parts of the yield curve might affect the exchange rate. </w:t>
      </w:r>
      <w:r w:rsidR="0019300B">
        <w:t>…</w:t>
      </w:r>
      <w:r>
        <w:t xml:space="preserve">Changes in conventional policy are reflected in policy rates and shorter-term interest rates (maturities at around 2 to 3 years), which are typically found to have a larger effect on the exchange rate than changes in longer-term interest rates. Nonetheless, quantitative easing measures that lower longer-term interest rates are also found to result in a depreciation of the exchange rate, all else equal. </w:t>
      </w:r>
      <w:r w:rsidRPr="0058396D">
        <w:rPr>
          <w:b/>
          <w:bCs/>
        </w:rPr>
        <w:t>A range of international studies that</w:t>
      </w:r>
      <w:r>
        <w:t xml:space="preserve"> </w:t>
      </w:r>
      <w:proofErr w:type="spellStart"/>
      <w:r w:rsidRPr="00525D2D">
        <w:rPr>
          <w:b/>
          <w:bCs/>
        </w:rPr>
        <w:t>analyse</w:t>
      </w:r>
      <w:proofErr w:type="spellEnd"/>
      <w:r w:rsidRPr="00525D2D">
        <w:rPr>
          <w:b/>
          <w:bCs/>
        </w:rPr>
        <w:t xml:space="preserve"> the effect of quantitative easing</w:t>
      </w:r>
      <w:r>
        <w:t xml:space="preserve"> have shown that an announcement that reduces long-term bond yields by 100 basis points typically results in a 3–9 per cent depreciation of the exchange rate. However, there is not a clear consensus in the literature around the magnitude of the effect compared with conventional monetary policy.</w:t>
      </w:r>
    </w:p>
    <w:p w14:paraId="624FF09F" w14:textId="77777777" w:rsidR="00683E42" w:rsidRDefault="00683E42" w:rsidP="00683E42">
      <w:pPr>
        <w:pStyle w:val="NoSpacing"/>
        <w:jc w:val="both"/>
      </w:pPr>
    </w:p>
    <w:p w14:paraId="2FCEEBEA" w14:textId="7CAEB46C" w:rsidR="00683E42" w:rsidRDefault="00683E42" w:rsidP="00683E42">
      <w:pPr>
        <w:pStyle w:val="NoSpacing"/>
        <w:jc w:val="both"/>
      </w:pPr>
      <w:r>
        <w:t xml:space="preserve">From an Australian perspective, the relationship between the structure of interest rates in the economy and the exchange rate appears consistent with international evidence. </w:t>
      </w:r>
      <w:r w:rsidR="001041BB">
        <w:t>…</w:t>
      </w:r>
      <w:r>
        <w:t xml:space="preserve">Changes in </w:t>
      </w:r>
      <w:r w:rsidRPr="00FB5E71">
        <w:rPr>
          <w:b/>
          <w:bCs/>
        </w:rPr>
        <w:t>shorter-term interest rates are typically found to have a larger effect on the exchange rate</w:t>
      </w:r>
      <w:r>
        <w:t>, and some studies have highlighted that the sensitivity of the exchange rate to changes in interest rates has increased over time as policy rates have declined to low levels. However, similar to international studies there is a high degree of uncertainty around the estimated effects of quantitative easing measures in Australia, partly because unconventional policy measures have only recently been introduced here.</w:t>
      </w:r>
    </w:p>
    <w:p w14:paraId="4259956B" w14:textId="77777777" w:rsidR="00987717" w:rsidRDefault="00987717" w:rsidP="00987717">
      <w:pPr>
        <w:pStyle w:val="NoSpacing"/>
        <w:jc w:val="both"/>
        <w:rPr>
          <w:b/>
          <w:bCs/>
        </w:rPr>
      </w:pPr>
    </w:p>
    <w:p w14:paraId="2234D097" w14:textId="5F32FE7B" w:rsidR="00987717" w:rsidRDefault="00987717" w:rsidP="00987717">
      <w:pPr>
        <w:pStyle w:val="NoSpacing"/>
        <w:jc w:val="both"/>
        <w:rPr>
          <w:b/>
          <w:bCs/>
        </w:rPr>
      </w:pPr>
      <w:r w:rsidRPr="00683E42">
        <w:rPr>
          <w:b/>
          <w:bCs/>
        </w:rPr>
        <w:t>Questions</w:t>
      </w:r>
    </w:p>
    <w:p w14:paraId="3342A4CA" w14:textId="10C3DE9E" w:rsidR="000415DA" w:rsidRPr="007543E8" w:rsidRDefault="006B0FAC" w:rsidP="000415DA">
      <w:pPr>
        <w:pStyle w:val="NoSpacing"/>
        <w:numPr>
          <w:ilvl w:val="0"/>
          <w:numId w:val="2"/>
        </w:numPr>
        <w:jc w:val="both"/>
      </w:pPr>
      <w:r>
        <w:rPr>
          <w:b/>
          <w:bCs/>
        </w:rPr>
        <w:t xml:space="preserve">Distinguish </w:t>
      </w:r>
      <w:r w:rsidR="007543E8" w:rsidRPr="007543E8">
        <w:rPr>
          <w:b/>
          <w:bCs/>
        </w:rPr>
        <w:t xml:space="preserve">conventional policy easing and quantitative easing </w:t>
      </w:r>
      <w:r w:rsidR="007543E8">
        <w:rPr>
          <w:b/>
          <w:bCs/>
        </w:rPr>
        <w:t xml:space="preserve">in terms of the impact on </w:t>
      </w:r>
      <w:r w:rsidR="00464FA8">
        <w:rPr>
          <w:b/>
          <w:bCs/>
        </w:rPr>
        <w:t>structure of interest rates (</w:t>
      </w:r>
      <w:proofErr w:type="gramStart"/>
      <w:r w:rsidR="00464FA8">
        <w:rPr>
          <w:b/>
          <w:bCs/>
        </w:rPr>
        <w:t>i.e.</w:t>
      </w:r>
      <w:proofErr w:type="gramEnd"/>
      <w:r w:rsidR="00464FA8">
        <w:rPr>
          <w:b/>
          <w:bCs/>
        </w:rPr>
        <w:t xml:space="preserve"> </w:t>
      </w:r>
      <w:r w:rsidR="007543E8">
        <w:rPr>
          <w:b/>
          <w:bCs/>
        </w:rPr>
        <w:t>short term and long term interest rates</w:t>
      </w:r>
      <w:r w:rsidR="00464FA8">
        <w:rPr>
          <w:b/>
          <w:bCs/>
        </w:rPr>
        <w:t>)</w:t>
      </w:r>
      <w:r w:rsidR="007543E8">
        <w:rPr>
          <w:b/>
          <w:bCs/>
        </w:rPr>
        <w:t>.</w:t>
      </w:r>
    </w:p>
    <w:p w14:paraId="2F80945B" w14:textId="278D8DBB" w:rsidR="00987717" w:rsidRPr="00987717" w:rsidRDefault="0058396D" w:rsidP="00417F5E">
      <w:pPr>
        <w:pStyle w:val="NoSpacing"/>
        <w:numPr>
          <w:ilvl w:val="0"/>
          <w:numId w:val="2"/>
        </w:numPr>
        <w:jc w:val="both"/>
      </w:pPr>
      <w:r w:rsidRPr="00987717">
        <w:rPr>
          <w:b/>
          <w:bCs/>
        </w:rPr>
        <w:t>According to</w:t>
      </w:r>
      <w:r w:rsidR="0045209E" w:rsidRPr="00987717">
        <w:rPr>
          <w:b/>
          <w:bCs/>
        </w:rPr>
        <w:t xml:space="preserve"> some</w:t>
      </w:r>
      <w:r w:rsidRPr="00987717">
        <w:rPr>
          <w:b/>
          <w:bCs/>
        </w:rPr>
        <w:t xml:space="preserve"> international studies, iden</w:t>
      </w:r>
      <w:r w:rsidR="0097179E" w:rsidRPr="00987717">
        <w:rPr>
          <w:b/>
          <w:bCs/>
        </w:rPr>
        <w:t xml:space="preserve">tify how a 1.00 percentage point reduction </w:t>
      </w:r>
      <w:r w:rsidR="0045209E" w:rsidRPr="00987717">
        <w:rPr>
          <w:b/>
          <w:bCs/>
        </w:rPr>
        <w:t>in long term bond rates influences the exchange rate.</w:t>
      </w:r>
    </w:p>
    <w:p w14:paraId="546C3813" w14:textId="74F09DBC" w:rsidR="00987717" w:rsidRDefault="00987717" w:rsidP="00987717">
      <w:pPr>
        <w:pStyle w:val="NoSpacing"/>
        <w:jc w:val="both"/>
      </w:pPr>
    </w:p>
    <w:p w14:paraId="36F8EFE0" w14:textId="7DA53CB5" w:rsidR="00987717" w:rsidRDefault="00987717">
      <w:pPr>
        <w:rPr>
          <w:rFonts w:asciiTheme="majorHAnsi" w:eastAsiaTheme="majorEastAsia" w:hAnsiTheme="majorHAnsi" w:cstheme="majorBidi"/>
          <w:color w:val="2F5496" w:themeColor="accent1" w:themeShade="BF"/>
          <w:sz w:val="32"/>
          <w:szCs w:val="32"/>
        </w:rPr>
      </w:pPr>
      <w:r>
        <w:br w:type="page"/>
      </w:r>
    </w:p>
    <w:p w14:paraId="374A3DE8" w14:textId="0C15AF76" w:rsidR="00683E42" w:rsidRDefault="00683E42" w:rsidP="00987717">
      <w:pPr>
        <w:pStyle w:val="Heading1"/>
      </w:pPr>
      <w:r>
        <w:lastRenderedPageBreak/>
        <w:t>Commodity prices and the terms of trade</w:t>
      </w:r>
    </w:p>
    <w:p w14:paraId="45FEFABF" w14:textId="77777777" w:rsidR="000415DA" w:rsidRDefault="000415DA" w:rsidP="00683E42">
      <w:pPr>
        <w:pStyle w:val="NoSpacing"/>
        <w:jc w:val="both"/>
      </w:pPr>
    </w:p>
    <w:p w14:paraId="3635B656" w14:textId="4DE03486" w:rsidR="00683E42" w:rsidRDefault="00987717" w:rsidP="00683E42">
      <w:pPr>
        <w:pStyle w:val="NoSpacing"/>
        <w:jc w:val="both"/>
      </w:pPr>
      <w:r w:rsidRPr="007848A2">
        <w:rPr>
          <w:noProof/>
        </w:rPr>
        <w:drawing>
          <wp:anchor distT="0" distB="0" distL="114300" distR="114300" simplePos="0" relativeHeight="251662336" behindDoc="0" locked="0" layoutInCell="1" allowOverlap="1" wp14:anchorId="469BAA6B" wp14:editId="6EB5DD4C">
            <wp:simplePos x="0" y="0"/>
            <wp:positionH relativeFrom="margin">
              <wp:align>right</wp:align>
            </wp:positionH>
            <wp:positionV relativeFrom="paragraph">
              <wp:posOffset>19088</wp:posOffset>
            </wp:positionV>
            <wp:extent cx="3270885" cy="26168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70885" cy="2616835"/>
                    </a:xfrm>
                    <a:prstGeom prst="rect">
                      <a:avLst/>
                    </a:prstGeom>
                  </pic:spPr>
                </pic:pic>
              </a:graphicData>
            </a:graphic>
            <wp14:sizeRelH relativeFrom="margin">
              <wp14:pctWidth>0</wp14:pctWidth>
            </wp14:sizeRelH>
            <wp14:sizeRelV relativeFrom="margin">
              <wp14:pctHeight>0</wp14:pctHeight>
            </wp14:sizeRelV>
          </wp:anchor>
        </w:drawing>
      </w:r>
      <w:r w:rsidR="00683E42">
        <w:t xml:space="preserve">Australia's terms of trade are another key fundamental determinant of the Australian dollar over the medium to longer term. Movements in the </w:t>
      </w:r>
      <w:r w:rsidR="00683E42" w:rsidRPr="001F0FA0">
        <w:rPr>
          <w:b/>
          <w:bCs/>
        </w:rPr>
        <w:t>terms of trade are influenced by changes in commodity prices</w:t>
      </w:r>
      <w:r w:rsidR="00683E42">
        <w:t xml:space="preserve">, reflecting the fact that commodities account for a large share of Australia's exports. Typically, an increase in commodity prices flows through to an increase in the terms of trade and this is associated with an appreciation of the exchange rate and similarly, a decline in the terms of trade is associated with a depreciation of the exchange rate. Estimates from the Chapman et al (2018) model suggests that, on average, </w:t>
      </w:r>
      <w:r w:rsidR="00683E42" w:rsidRPr="00EE6D15">
        <w:rPr>
          <w:b/>
          <w:bCs/>
        </w:rPr>
        <w:t>a 10 per cent increase in the terms of trade forecast is associated with an appreciation of around 5–7 per cent</w:t>
      </w:r>
      <w:r w:rsidR="00683E42">
        <w:t xml:space="preserve"> in the Australian dollar real TWI (Graph 7).</w:t>
      </w:r>
    </w:p>
    <w:p w14:paraId="45A0DEE7" w14:textId="3786D436" w:rsidR="00683E42" w:rsidRDefault="00683E42" w:rsidP="00683E42">
      <w:pPr>
        <w:pStyle w:val="NoSpacing"/>
        <w:jc w:val="both"/>
      </w:pPr>
    </w:p>
    <w:p w14:paraId="67F785A9" w14:textId="1EE6DB37" w:rsidR="00683E42" w:rsidRDefault="00987717" w:rsidP="00683E42">
      <w:pPr>
        <w:pStyle w:val="NoSpacing"/>
        <w:jc w:val="both"/>
      </w:pPr>
      <w:r w:rsidRPr="007712C9">
        <w:rPr>
          <w:noProof/>
        </w:rPr>
        <w:drawing>
          <wp:anchor distT="0" distB="0" distL="114300" distR="114300" simplePos="0" relativeHeight="251663360" behindDoc="0" locked="0" layoutInCell="1" allowOverlap="1" wp14:anchorId="33AA962D" wp14:editId="0D906817">
            <wp:simplePos x="0" y="0"/>
            <wp:positionH relativeFrom="margin">
              <wp:align>right</wp:align>
            </wp:positionH>
            <wp:positionV relativeFrom="paragraph">
              <wp:posOffset>982345</wp:posOffset>
            </wp:positionV>
            <wp:extent cx="3321050" cy="27603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21050" cy="2760345"/>
                    </a:xfrm>
                    <a:prstGeom prst="rect">
                      <a:avLst/>
                    </a:prstGeom>
                  </pic:spPr>
                </pic:pic>
              </a:graphicData>
            </a:graphic>
            <wp14:sizeRelH relativeFrom="margin">
              <wp14:pctWidth>0</wp14:pctWidth>
            </wp14:sizeRelH>
            <wp14:sizeRelV relativeFrom="margin">
              <wp14:pctHeight>0</wp14:pctHeight>
            </wp14:sizeRelV>
          </wp:anchor>
        </w:drawing>
      </w:r>
      <w:r w:rsidR="00683E42">
        <w:t xml:space="preserve">One good example of the relationship between commodity prices and the exchange rate was during the </w:t>
      </w:r>
      <w:r w:rsidR="00683E42" w:rsidRPr="00443526">
        <w:rPr>
          <w:b/>
          <w:bCs/>
        </w:rPr>
        <w:t>resources boom</w:t>
      </w:r>
      <w:r w:rsidR="00683E42">
        <w:t xml:space="preserve"> over the decade from the early 2000s. Global commodity prices rose reflecting strong demand from China, so Australia's terms of trade increased significantly. These developments led to large inflows of foreign capital into Australia to help fund an expansion of capacity in the resources sector and a more positive outlook for the Australian economy more generally. This resulted in increased demand for the Australian </w:t>
      </w:r>
      <w:proofErr w:type="gramStart"/>
      <w:r w:rsidR="00683E42">
        <w:t>dollar</w:t>
      </w:r>
      <w:proofErr w:type="gramEnd"/>
      <w:r w:rsidR="00683E42">
        <w:t xml:space="preserve"> and it appreciated significantly through to around 2013.</w:t>
      </w:r>
    </w:p>
    <w:p w14:paraId="1DCF87AD" w14:textId="77777777" w:rsidR="00683E42" w:rsidRDefault="00683E42" w:rsidP="00683E42">
      <w:pPr>
        <w:pStyle w:val="NoSpacing"/>
        <w:jc w:val="both"/>
      </w:pPr>
    </w:p>
    <w:p w14:paraId="3D94C52D" w14:textId="4BEED6BF" w:rsidR="00683E42" w:rsidRDefault="00683E42" w:rsidP="00683E42">
      <w:pPr>
        <w:pStyle w:val="NoSpacing"/>
        <w:jc w:val="both"/>
      </w:pPr>
      <w:r>
        <w:t xml:space="preserve">The Australian dollar has depreciated since its peak in 2013. While the depreciation was associated with the decline in the terms of trade as commodity prices fell, </w:t>
      </w:r>
      <w:r w:rsidRPr="0011730E">
        <w:rPr>
          <w:b/>
          <w:bCs/>
        </w:rPr>
        <w:t>there have been periods where the relationship between commodity prices and the exchange rate has appeared less clear</w:t>
      </w:r>
      <w:r>
        <w:t xml:space="preserve">. One way to illustrate this is to consider a simple correlation of weekly changes between movements in the Australian dollar and RBA's index of commodity prices (ICP) (Graph 8).[11] Typically there is a positive correlation, but over the period from late 2017 through to 2019, the </w:t>
      </w:r>
      <w:r w:rsidRPr="00C25B24">
        <w:rPr>
          <w:b/>
          <w:bCs/>
        </w:rPr>
        <w:t>correlation declined to around zero.</w:t>
      </w:r>
    </w:p>
    <w:p w14:paraId="0F5D1436" w14:textId="51B2EBAD" w:rsidR="00683E42" w:rsidRDefault="00683E42" w:rsidP="00683E42">
      <w:pPr>
        <w:pStyle w:val="NoSpacing"/>
        <w:jc w:val="both"/>
      </w:pPr>
    </w:p>
    <w:p w14:paraId="2509BB08" w14:textId="310FACB7" w:rsidR="00683E42" w:rsidRDefault="00683E42" w:rsidP="00683E42">
      <w:pPr>
        <w:pStyle w:val="NoSpacing"/>
        <w:jc w:val="both"/>
      </w:pPr>
      <w:r>
        <w:t xml:space="preserve">Movements in the Australian dollar and commodity prices appear more </w:t>
      </w:r>
      <w:proofErr w:type="spellStart"/>
      <w:r>
        <w:t>synchronised</w:t>
      </w:r>
      <w:proofErr w:type="spellEnd"/>
      <w:r>
        <w:t xml:space="preserve"> when </w:t>
      </w:r>
      <w:r w:rsidRPr="004D1492">
        <w:rPr>
          <w:b/>
          <w:bCs/>
        </w:rPr>
        <w:t>commodity prices are driven by persistent, that is relatively long-lasting, shifts in demand and supply</w:t>
      </w:r>
      <w:r>
        <w:t xml:space="preserve">. These types of developments are more likely to flow through to investment decisions and the medium-term outlook for economic growth but also reflect a more positive outlook for the global economy. In contrast, commodity price movements related to </w:t>
      </w:r>
      <w:r w:rsidRPr="00200F18">
        <w:rPr>
          <w:b/>
          <w:bCs/>
        </w:rPr>
        <w:t>temporary factors</w:t>
      </w:r>
      <w:r>
        <w:t>, such as supply disruptions, are less likely to influence the medium-term outlook and the exchange rate.</w:t>
      </w:r>
    </w:p>
    <w:p w14:paraId="0158F4DC" w14:textId="77777777" w:rsidR="00683E42" w:rsidRDefault="00683E42" w:rsidP="00683E42">
      <w:pPr>
        <w:pStyle w:val="NoSpacing"/>
        <w:jc w:val="both"/>
      </w:pPr>
    </w:p>
    <w:p w14:paraId="4CB642F6" w14:textId="02B4BBD3" w:rsidR="00683E42" w:rsidRDefault="00683E42" w:rsidP="00683E42">
      <w:pPr>
        <w:pStyle w:val="NoSpacing"/>
        <w:jc w:val="both"/>
      </w:pPr>
      <w:r>
        <w:t xml:space="preserve">For example, the increase in the price of iron ore over much of 2019 was associated with temporary </w:t>
      </w:r>
      <w:r w:rsidRPr="00114E9E">
        <w:rPr>
          <w:b/>
          <w:bCs/>
        </w:rPr>
        <w:t>supply disruptions in Brazil</w:t>
      </w:r>
      <w:r>
        <w:t xml:space="preserve"> and Australia. Because these price movements were expected to be short lived, they did not lead to large increases in capacity or production by Australian producers. In addition, the increase in mining profits from higher commodity prices did not boost domestic household incomes noticeably</w:t>
      </w:r>
      <w:r w:rsidR="00396ACF">
        <w:t>.</w:t>
      </w:r>
      <w:r>
        <w:t xml:space="preserve"> As a result, it is not surprising that the exchange rate did not move closely with commodity prices over this period.</w:t>
      </w:r>
    </w:p>
    <w:p w14:paraId="0733A333" w14:textId="77777777" w:rsidR="00683E42" w:rsidRDefault="00683E42" w:rsidP="00683E42">
      <w:pPr>
        <w:pStyle w:val="NoSpacing"/>
        <w:jc w:val="both"/>
      </w:pPr>
    </w:p>
    <w:p w14:paraId="63089392" w14:textId="7B6536A1" w:rsidR="00683E42" w:rsidRDefault="00683E42" w:rsidP="00683E42">
      <w:pPr>
        <w:pStyle w:val="NoSpacing"/>
        <w:jc w:val="both"/>
      </w:pPr>
      <w:r>
        <w:t xml:space="preserve">However, since late 2020 commodity prices have been more </w:t>
      </w:r>
      <w:proofErr w:type="gramStart"/>
      <w:r>
        <w:t>closely associated</w:t>
      </w:r>
      <w:proofErr w:type="gramEnd"/>
      <w:r>
        <w:t xml:space="preserve"> with movements in the Australian dollar. Indeed, the appreciation of the Australian dollar since November 2020 has been broadly consistent with the increase in </w:t>
      </w:r>
      <w:r>
        <w:lastRenderedPageBreak/>
        <w:t xml:space="preserve">commodity prices. These developments have occurred against the backdrop of improving expectations for a recovery in global growth. Over this period, the price of iron ore increased significantly because of </w:t>
      </w:r>
      <w:r w:rsidRPr="00396ACF">
        <w:rPr>
          <w:b/>
          <w:bCs/>
        </w:rPr>
        <w:t xml:space="preserve">stronger Chinese demand for </w:t>
      </w:r>
      <w:proofErr w:type="gramStart"/>
      <w:r w:rsidRPr="00396ACF">
        <w:rPr>
          <w:b/>
          <w:bCs/>
        </w:rPr>
        <w:t>steel</w:t>
      </w:r>
      <w:r>
        <w:t>, and</w:t>
      </w:r>
      <w:proofErr w:type="gramEnd"/>
      <w:r>
        <w:t xml:space="preserve"> is around its highest level in a decade. In this environment, improved investor sentiment supported demand for a variety of ‘risk-sensitive’ assets, including equities, many commodities, and the Australian dollar.</w:t>
      </w:r>
    </w:p>
    <w:p w14:paraId="1FCF6FFC" w14:textId="328940D8" w:rsidR="001F0FA0" w:rsidRDefault="001F0FA0" w:rsidP="00683E42">
      <w:pPr>
        <w:pStyle w:val="NoSpacing"/>
        <w:jc w:val="both"/>
      </w:pPr>
    </w:p>
    <w:p w14:paraId="6F4169C1" w14:textId="77777777" w:rsidR="00987717" w:rsidRDefault="00987717" w:rsidP="00987717">
      <w:pPr>
        <w:pStyle w:val="NoSpacing"/>
        <w:jc w:val="both"/>
        <w:rPr>
          <w:b/>
          <w:bCs/>
        </w:rPr>
      </w:pPr>
      <w:r w:rsidRPr="00683E42">
        <w:rPr>
          <w:b/>
          <w:bCs/>
        </w:rPr>
        <w:t>Questions</w:t>
      </w:r>
    </w:p>
    <w:p w14:paraId="05A05633" w14:textId="77777777" w:rsidR="001018CE" w:rsidRPr="001018CE" w:rsidRDefault="001018CE" w:rsidP="001018CE">
      <w:pPr>
        <w:pStyle w:val="NoSpacing"/>
        <w:numPr>
          <w:ilvl w:val="0"/>
          <w:numId w:val="2"/>
        </w:numPr>
        <w:jc w:val="both"/>
        <w:rPr>
          <w:b/>
          <w:bCs/>
        </w:rPr>
      </w:pPr>
      <w:r w:rsidRPr="001018CE">
        <w:rPr>
          <w:b/>
          <w:bCs/>
        </w:rPr>
        <w:t>Refer to graph 7, describe the relationship between commodity prices and the terms of trade (TOT)</w:t>
      </w:r>
    </w:p>
    <w:p w14:paraId="709F8312" w14:textId="77777777" w:rsidR="0028473D" w:rsidRPr="0028473D" w:rsidRDefault="001F0FA0" w:rsidP="001F0FA0">
      <w:pPr>
        <w:pStyle w:val="NoSpacing"/>
        <w:numPr>
          <w:ilvl w:val="0"/>
          <w:numId w:val="2"/>
        </w:numPr>
        <w:jc w:val="both"/>
      </w:pPr>
      <w:r>
        <w:rPr>
          <w:b/>
          <w:bCs/>
        </w:rPr>
        <w:t xml:space="preserve">Explain why </w:t>
      </w:r>
      <w:r w:rsidR="00D12278">
        <w:rPr>
          <w:b/>
          <w:bCs/>
        </w:rPr>
        <w:t>commodity prices heavily influence Australia’s terms of tr</w:t>
      </w:r>
      <w:r w:rsidR="00EE6D15">
        <w:rPr>
          <w:b/>
          <w:bCs/>
        </w:rPr>
        <w:t>ade</w:t>
      </w:r>
      <w:r w:rsidR="001018CE">
        <w:rPr>
          <w:b/>
          <w:bCs/>
        </w:rPr>
        <w:t>.</w:t>
      </w:r>
      <w:r w:rsidR="00C64B4F">
        <w:rPr>
          <w:b/>
          <w:bCs/>
        </w:rPr>
        <w:t xml:space="preserve"> </w:t>
      </w:r>
    </w:p>
    <w:p w14:paraId="18D92C11" w14:textId="7FF3B9A6" w:rsidR="00EE6D15" w:rsidRPr="0028473D" w:rsidRDefault="00C64B4F" w:rsidP="001F0FA0">
      <w:pPr>
        <w:pStyle w:val="NoSpacing"/>
        <w:numPr>
          <w:ilvl w:val="0"/>
          <w:numId w:val="2"/>
        </w:numPr>
        <w:jc w:val="both"/>
      </w:pPr>
      <w:r>
        <w:rPr>
          <w:b/>
          <w:bCs/>
        </w:rPr>
        <w:t>Use the example of the resources boom to illustrate</w:t>
      </w:r>
      <w:r w:rsidR="0028473D">
        <w:rPr>
          <w:b/>
          <w:bCs/>
        </w:rPr>
        <w:t xml:space="preserve"> the relationship between:</w:t>
      </w:r>
    </w:p>
    <w:p w14:paraId="44261CA0" w14:textId="45267530" w:rsidR="0028473D" w:rsidRPr="0028473D" w:rsidRDefault="0028473D" w:rsidP="0028473D">
      <w:pPr>
        <w:pStyle w:val="NoSpacing"/>
        <w:numPr>
          <w:ilvl w:val="1"/>
          <w:numId w:val="2"/>
        </w:numPr>
        <w:jc w:val="both"/>
      </w:pPr>
      <w:r>
        <w:rPr>
          <w:b/>
          <w:bCs/>
        </w:rPr>
        <w:t>Commodity prices and the TOT</w:t>
      </w:r>
    </w:p>
    <w:p w14:paraId="6F6A8289" w14:textId="1C864F9F" w:rsidR="0028473D" w:rsidRPr="00EE6D15" w:rsidRDefault="0028473D" w:rsidP="0028473D">
      <w:pPr>
        <w:pStyle w:val="NoSpacing"/>
        <w:numPr>
          <w:ilvl w:val="1"/>
          <w:numId w:val="2"/>
        </w:numPr>
        <w:jc w:val="both"/>
      </w:pPr>
      <w:r>
        <w:rPr>
          <w:b/>
          <w:bCs/>
        </w:rPr>
        <w:t>TOT and the exchange rate</w:t>
      </w:r>
    </w:p>
    <w:p w14:paraId="7BF6D37A" w14:textId="18BC7B8B" w:rsidR="001F0FA0" w:rsidRPr="001824C3" w:rsidRDefault="001B451E" w:rsidP="001F0FA0">
      <w:pPr>
        <w:pStyle w:val="NoSpacing"/>
        <w:numPr>
          <w:ilvl w:val="0"/>
          <w:numId w:val="2"/>
        </w:numPr>
        <w:jc w:val="both"/>
      </w:pPr>
      <w:r>
        <w:rPr>
          <w:b/>
          <w:bCs/>
        </w:rPr>
        <w:t xml:space="preserve">Identify the extent to which the exchange rate will </w:t>
      </w:r>
      <w:r w:rsidR="001824C3">
        <w:rPr>
          <w:b/>
          <w:bCs/>
        </w:rPr>
        <w:t>appreciate following a 10% increase in the TOT.</w:t>
      </w:r>
      <w:r w:rsidR="00D12278">
        <w:rPr>
          <w:b/>
          <w:bCs/>
        </w:rPr>
        <w:t xml:space="preserve"> </w:t>
      </w:r>
    </w:p>
    <w:p w14:paraId="13BCECFF" w14:textId="37B76707" w:rsidR="001824C3" w:rsidRPr="009A121F" w:rsidRDefault="00C25B24" w:rsidP="001F0FA0">
      <w:pPr>
        <w:pStyle w:val="NoSpacing"/>
        <w:numPr>
          <w:ilvl w:val="0"/>
          <w:numId w:val="2"/>
        </w:numPr>
        <w:jc w:val="both"/>
        <w:rPr>
          <w:b/>
          <w:bCs/>
        </w:rPr>
      </w:pPr>
      <w:r w:rsidRPr="009A121F">
        <w:rPr>
          <w:b/>
          <w:bCs/>
        </w:rPr>
        <w:t>With respect to the relationship between commodity prices and the TWI</w:t>
      </w:r>
      <w:r w:rsidR="00856968" w:rsidRPr="009A121F">
        <w:rPr>
          <w:b/>
          <w:bCs/>
        </w:rPr>
        <w:t xml:space="preserve">, explain what it means when the correlation is zero (or lower), as identified in </w:t>
      </w:r>
      <w:r w:rsidR="009A121F" w:rsidRPr="009A121F">
        <w:rPr>
          <w:b/>
          <w:bCs/>
        </w:rPr>
        <w:t>Graph 8 over the period from late 2017 through to 2019.</w:t>
      </w:r>
    </w:p>
    <w:p w14:paraId="11F85A00" w14:textId="7167CF8D" w:rsidR="009A121F" w:rsidRPr="00F516F9" w:rsidRDefault="004D1492" w:rsidP="001F0FA0">
      <w:pPr>
        <w:pStyle w:val="NoSpacing"/>
        <w:numPr>
          <w:ilvl w:val="0"/>
          <w:numId w:val="2"/>
        </w:numPr>
        <w:jc w:val="both"/>
        <w:rPr>
          <w:b/>
          <w:bCs/>
        </w:rPr>
      </w:pPr>
      <w:r w:rsidRPr="00F516F9">
        <w:rPr>
          <w:b/>
          <w:bCs/>
        </w:rPr>
        <w:t xml:space="preserve">Explain why </w:t>
      </w:r>
      <w:r w:rsidR="00200F18" w:rsidRPr="00F516F9">
        <w:rPr>
          <w:b/>
          <w:bCs/>
        </w:rPr>
        <w:t xml:space="preserve">the value of the exchange rate (TWI) is less likely to follow movements in commodity prices when the change in commodity prices is </w:t>
      </w:r>
      <w:r w:rsidR="00F516F9" w:rsidRPr="00F516F9">
        <w:rPr>
          <w:b/>
          <w:bCs/>
        </w:rPr>
        <w:t>due to temporary factors.</w:t>
      </w:r>
      <w:r w:rsidR="00114E9E">
        <w:rPr>
          <w:b/>
          <w:bCs/>
        </w:rPr>
        <w:t xml:space="preserve">  Use iron ore supply disruptions in Brazil to illustrate.</w:t>
      </w:r>
    </w:p>
    <w:p w14:paraId="71A474EC" w14:textId="77777777" w:rsidR="008078C8" w:rsidRDefault="000A7DA6" w:rsidP="001F0FA0">
      <w:pPr>
        <w:pStyle w:val="NoSpacing"/>
        <w:numPr>
          <w:ilvl w:val="0"/>
          <w:numId w:val="2"/>
        </w:numPr>
        <w:jc w:val="both"/>
        <w:rPr>
          <w:b/>
          <w:bCs/>
        </w:rPr>
      </w:pPr>
      <w:r>
        <w:rPr>
          <w:b/>
          <w:bCs/>
        </w:rPr>
        <w:t xml:space="preserve">Explain </w:t>
      </w:r>
      <w:r w:rsidR="008078C8">
        <w:rPr>
          <w:b/>
          <w:bCs/>
        </w:rPr>
        <w:t>how the Chinese economy contributed to growth in the AUD since late 2020.</w:t>
      </w:r>
    </w:p>
    <w:p w14:paraId="375098D7" w14:textId="3BA9989C" w:rsidR="00683E42" w:rsidRDefault="00683E42" w:rsidP="000415DA">
      <w:pPr>
        <w:pStyle w:val="Heading1"/>
      </w:pPr>
      <w:r>
        <w:t>Shorter-term factors and developments in other financial markets</w:t>
      </w:r>
    </w:p>
    <w:p w14:paraId="596B128E" w14:textId="77777777" w:rsidR="000415DA" w:rsidRDefault="000415DA" w:rsidP="00683E42">
      <w:pPr>
        <w:pStyle w:val="NoSpacing"/>
        <w:jc w:val="both"/>
      </w:pPr>
    </w:p>
    <w:p w14:paraId="2A044BAB" w14:textId="77777777" w:rsidR="00683E42" w:rsidRDefault="00683E42" w:rsidP="00683E42">
      <w:pPr>
        <w:pStyle w:val="NoSpacing"/>
        <w:jc w:val="both"/>
      </w:pPr>
      <w:r>
        <w:t xml:space="preserve">Over time Australian financial markets, including the foreign exchange market, have become more </w:t>
      </w:r>
      <w:proofErr w:type="gramStart"/>
      <w:r>
        <w:t>closely integrated</w:t>
      </w:r>
      <w:proofErr w:type="gramEnd"/>
      <w:r>
        <w:t xml:space="preserve"> with the global financial system (Jacobs 2019). The Australian dollar is the fifth most traded currency globally, and the AUD/USD is the fourth most traded currency pair (Guo, Ranasinghe and Zhang 2019). Turnover of the Australian dollar has increased alongside global turnover of all currencies (in US dollar terms) over recent years, and most of the increase in turnover has been recorded in offshore markets. </w:t>
      </w:r>
      <w:proofErr w:type="gramStart"/>
      <w:r>
        <w:t>So</w:t>
      </w:r>
      <w:proofErr w:type="gramEnd"/>
      <w:r>
        <w:t xml:space="preserve"> although the fundamental determinants (discussed above) are important for understanding longer-term movements in the exchange rate, in the shorter term other factors can be important in influencing the </w:t>
      </w:r>
      <w:proofErr w:type="spellStart"/>
      <w:r>
        <w:t>behaviour</w:t>
      </w:r>
      <w:proofErr w:type="spellEnd"/>
      <w:r>
        <w:t xml:space="preserve"> of participants in foreign exchange markets and thus the exchange rate.</w:t>
      </w:r>
    </w:p>
    <w:p w14:paraId="01D7B79E" w14:textId="77777777" w:rsidR="00683E42" w:rsidRDefault="00683E42" w:rsidP="00683E42">
      <w:pPr>
        <w:pStyle w:val="NoSpacing"/>
        <w:jc w:val="both"/>
      </w:pPr>
    </w:p>
    <w:p w14:paraId="4BABC95E" w14:textId="77F089AE" w:rsidR="00683E42" w:rsidRDefault="00987717" w:rsidP="00683E42">
      <w:pPr>
        <w:pStyle w:val="NoSpacing"/>
        <w:jc w:val="both"/>
      </w:pPr>
      <w:r w:rsidRPr="004A6E6F">
        <w:rPr>
          <w:noProof/>
        </w:rPr>
        <w:drawing>
          <wp:anchor distT="0" distB="0" distL="114300" distR="114300" simplePos="0" relativeHeight="251664384" behindDoc="0" locked="0" layoutInCell="1" allowOverlap="1" wp14:anchorId="09F0378C" wp14:editId="2CC71946">
            <wp:simplePos x="0" y="0"/>
            <wp:positionH relativeFrom="margin">
              <wp:align>right</wp:align>
            </wp:positionH>
            <wp:positionV relativeFrom="paragraph">
              <wp:posOffset>11506</wp:posOffset>
            </wp:positionV>
            <wp:extent cx="2959100" cy="25222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59100" cy="2522220"/>
                    </a:xfrm>
                    <a:prstGeom prst="rect">
                      <a:avLst/>
                    </a:prstGeom>
                  </pic:spPr>
                </pic:pic>
              </a:graphicData>
            </a:graphic>
            <wp14:sizeRelH relativeFrom="margin">
              <wp14:pctWidth>0</wp14:pctWidth>
            </wp14:sizeRelH>
            <wp14:sizeRelV relativeFrom="margin">
              <wp14:pctHeight>0</wp14:pctHeight>
            </wp14:sizeRelV>
          </wp:anchor>
        </w:drawing>
      </w:r>
      <w:r w:rsidR="00683E42">
        <w:t xml:space="preserve">One of these additional factors is the attitudes of </w:t>
      </w:r>
      <w:r w:rsidR="00683E42" w:rsidRPr="00E55988">
        <w:rPr>
          <w:b/>
          <w:bCs/>
        </w:rPr>
        <w:t>market participants towards risk (or ‘risk sentiment’).</w:t>
      </w:r>
      <w:r w:rsidR="00683E42">
        <w:t xml:space="preserve"> While risk sentiment is not directly observable, changes in risk sentiment are typically associated with asset price changes across a range of financial markets. The Australian dollar is historically more volatile than most other advanced economy currencies, and market commentators often link movements in the exchange rate with developments in the outlook for global growth. Indeed, the </w:t>
      </w:r>
      <w:r w:rsidR="00683E42" w:rsidRPr="008A75C1">
        <w:rPr>
          <w:b/>
          <w:bCs/>
        </w:rPr>
        <w:t>Australian dollar is typically considered a ‘risk-sensitive’ currency</w:t>
      </w:r>
      <w:r w:rsidR="00683E42">
        <w:t>.</w:t>
      </w:r>
    </w:p>
    <w:p w14:paraId="1858F1FF" w14:textId="77777777" w:rsidR="00683E42" w:rsidRDefault="00683E42" w:rsidP="00683E42">
      <w:pPr>
        <w:pStyle w:val="NoSpacing"/>
        <w:jc w:val="both"/>
      </w:pPr>
    </w:p>
    <w:p w14:paraId="27487BC3" w14:textId="3564D29C" w:rsidR="00683E42" w:rsidRDefault="00683E42" w:rsidP="00683E42">
      <w:pPr>
        <w:pStyle w:val="NoSpacing"/>
        <w:jc w:val="both"/>
      </w:pPr>
      <w:r>
        <w:t xml:space="preserve">One way to highlight the role that risk sentiment plays in influencing the Australian dollar is through its </w:t>
      </w:r>
      <w:r w:rsidRPr="00BB70C5">
        <w:rPr>
          <w:b/>
          <w:bCs/>
        </w:rPr>
        <w:t>correlation with prices of risk-sensitive assets, such as US equities</w:t>
      </w:r>
      <w:r>
        <w:t xml:space="preserve">. </w:t>
      </w:r>
      <w:r w:rsidR="00F90F59">
        <w:t>…</w:t>
      </w:r>
      <w:r>
        <w:t xml:space="preserve"> Movements in the Australian dollar have been highly correlated with movements in US equities </w:t>
      </w:r>
      <w:r w:rsidR="002953E3">
        <w:t>[</w:t>
      </w:r>
      <w:proofErr w:type="gramStart"/>
      <w:r w:rsidR="002953E3">
        <w:t>e.g.</w:t>
      </w:r>
      <w:proofErr w:type="gramEnd"/>
      <w:r w:rsidR="002953E3">
        <w:t xml:space="preserve"> stocks/shares] </w:t>
      </w:r>
      <w:r>
        <w:t>at different points in time over the past decade. This was particularly evident over 2020 when movements in the Australian dollar broadly followed those in US equity markets – depreciating during the height of financial market stress in March before appreciating alongside the rise in equity prices as conditions in global financial markets improved and the outlook for global growth became more positive (Graph 10). Similar co-movement between the Australian dollar and US equities was observed during the global financial crisis.</w:t>
      </w:r>
    </w:p>
    <w:p w14:paraId="22C09D31" w14:textId="06119A9D" w:rsidR="00683E42" w:rsidRDefault="00683E42" w:rsidP="00683E42">
      <w:pPr>
        <w:pStyle w:val="NoSpacing"/>
        <w:jc w:val="both"/>
      </w:pPr>
    </w:p>
    <w:p w14:paraId="50EFC704" w14:textId="0723C3F4" w:rsidR="00683E42" w:rsidRDefault="007B4DD1" w:rsidP="00683E42">
      <w:pPr>
        <w:pStyle w:val="NoSpacing"/>
        <w:jc w:val="both"/>
      </w:pPr>
      <w:r>
        <w:t>…</w:t>
      </w:r>
      <w:r w:rsidR="00683E42">
        <w:t xml:space="preserve">The recent COVID-19 episode also highlighted that during periods of heightened financial market volatility and risk aversion short-term Australian dollar movements can be very sharp. The Australian dollar typically depreciates during these episodes as </w:t>
      </w:r>
      <w:r w:rsidR="00683E42" w:rsidRPr="00247178">
        <w:rPr>
          <w:b/>
          <w:bCs/>
        </w:rPr>
        <w:t>demand for ‘safe-haven’ currencies</w:t>
      </w:r>
      <w:r w:rsidR="00683E42">
        <w:t xml:space="preserve"> such as the US dollar increases. Also, during periods of financial </w:t>
      </w:r>
      <w:r w:rsidR="00683E42">
        <w:lastRenderedPageBreak/>
        <w:t xml:space="preserve">market volatility </w:t>
      </w:r>
      <w:r w:rsidR="00683E42" w:rsidRPr="004D2951">
        <w:rPr>
          <w:b/>
          <w:bCs/>
        </w:rPr>
        <w:t xml:space="preserve">unwinding of ‘carry </w:t>
      </w:r>
      <w:proofErr w:type="gramStart"/>
      <w:r w:rsidR="00683E42" w:rsidRPr="004D2951">
        <w:rPr>
          <w:b/>
          <w:bCs/>
        </w:rPr>
        <w:t>trades’</w:t>
      </w:r>
      <w:proofErr w:type="gramEnd"/>
      <w:r w:rsidR="00683E42">
        <w:t xml:space="preserve"> can exacerbate a depreciation in the exchange rate. A carry trade generally involves borrowing money in a low-yielding currency (such as the Japanese yen) and investing in a high-yielding currency (such as the Australian dollar). Historically, carry trades have been an important driver of the Australian dollar, at least periodically, but as interest rates have </w:t>
      </w:r>
      <w:proofErr w:type="gramStart"/>
      <w:r w:rsidR="00683E42">
        <w:t>converged</w:t>
      </w:r>
      <w:proofErr w:type="gramEnd"/>
      <w:r w:rsidR="00683E42">
        <w:t xml:space="preserve"> they may have become a less important driver because even a small depreciation can make the trade unprofitable.</w:t>
      </w:r>
    </w:p>
    <w:p w14:paraId="7B743B4F" w14:textId="77777777" w:rsidR="00683E42" w:rsidRDefault="00683E42" w:rsidP="00EB7E60">
      <w:pPr>
        <w:pStyle w:val="Heading1"/>
      </w:pPr>
      <w:r>
        <w:t>Conclusion</w:t>
      </w:r>
    </w:p>
    <w:p w14:paraId="4998F0E6" w14:textId="77777777" w:rsidR="00EB7E60" w:rsidRDefault="00EB7E60" w:rsidP="00683E42">
      <w:pPr>
        <w:pStyle w:val="NoSpacing"/>
        <w:jc w:val="both"/>
      </w:pPr>
    </w:p>
    <w:p w14:paraId="35143B1D" w14:textId="02211114" w:rsidR="00683E42" w:rsidRDefault="00683E42" w:rsidP="00683E42">
      <w:pPr>
        <w:pStyle w:val="NoSpacing"/>
        <w:jc w:val="both"/>
      </w:pPr>
      <w:r>
        <w:t xml:space="preserve">Australia is a small trade-exposed economy and is </w:t>
      </w:r>
      <w:proofErr w:type="gramStart"/>
      <w:r>
        <w:t>closely integrated</w:t>
      </w:r>
      <w:proofErr w:type="gramEnd"/>
      <w:r>
        <w:t xml:space="preserve"> with global capital markets. The </w:t>
      </w:r>
      <w:r w:rsidRPr="005443B5">
        <w:rPr>
          <w:b/>
          <w:bCs/>
        </w:rPr>
        <w:t>flexible exchange rate allows the Reserve Bank to set monetary policy in a way that responds to domestic economic conditions to achieve its objectives.</w:t>
      </w:r>
      <w:r>
        <w:t xml:space="preserve"> It also means the Australian dollar is influenced by international developments. The terms of trade and interest rate differentials are key fundamental determinants of the Australian dollar over the medium to long term. The decline in the terms of trade since the end of the mining boom and the decline in interest rate differentials over a number of years have been important drivers of the depreciation of the Australian dollar on a trade-weighted basis since its peak in 2013. The easing of domestic monetary policy over a number of years, including the recent introduction of quantitative easing measures, have contributed to a lower structure of interest rates in Australia and the exchange rate being lower than it would otherwise have been.</w:t>
      </w:r>
    </w:p>
    <w:p w14:paraId="642C9349" w14:textId="3B82F8E4" w:rsidR="00683E42" w:rsidRDefault="00683E42" w:rsidP="00683E42">
      <w:pPr>
        <w:pStyle w:val="NoSpacing"/>
        <w:jc w:val="both"/>
      </w:pPr>
    </w:p>
    <w:p w14:paraId="664CF9FC" w14:textId="77777777" w:rsidR="00987717" w:rsidRDefault="00987717" w:rsidP="00987717">
      <w:pPr>
        <w:pStyle w:val="NoSpacing"/>
        <w:jc w:val="both"/>
        <w:rPr>
          <w:b/>
          <w:bCs/>
        </w:rPr>
      </w:pPr>
      <w:r w:rsidRPr="00683E42">
        <w:rPr>
          <w:b/>
          <w:bCs/>
        </w:rPr>
        <w:t>Questions</w:t>
      </w:r>
    </w:p>
    <w:p w14:paraId="5AE91055" w14:textId="202DBE8A" w:rsidR="00CC16B4" w:rsidRDefault="008A75C1" w:rsidP="000E1CFC">
      <w:pPr>
        <w:pStyle w:val="NoSpacing"/>
        <w:numPr>
          <w:ilvl w:val="0"/>
          <w:numId w:val="2"/>
        </w:numPr>
        <w:jc w:val="both"/>
        <w:rPr>
          <w:b/>
          <w:bCs/>
        </w:rPr>
      </w:pPr>
      <w:r>
        <w:rPr>
          <w:b/>
          <w:bCs/>
        </w:rPr>
        <w:t>I</w:t>
      </w:r>
      <w:r w:rsidR="00E55988">
        <w:rPr>
          <w:b/>
          <w:bCs/>
        </w:rPr>
        <w:t xml:space="preserve">dentify </w:t>
      </w:r>
      <w:r w:rsidR="00B80B8D">
        <w:rPr>
          <w:b/>
          <w:bCs/>
        </w:rPr>
        <w:t xml:space="preserve">the </w:t>
      </w:r>
      <w:r>
        <w:rPr>
          <w:b/>
          <w:bCs/>
        </w:rPr>
        <w:t xml:space="preserve">role </w:t>
      </w:r>
      <w:r w:rsidR="00B80B8D">
        <w:rPr>
          <w:b/>
          <w:bCs/>
        </w:rPr>
        <w:t xml:space="preserve">of ‘risk assessment’ in </w:t>
      </w:r>
      <w:r>
        <w:rPr>
          <w:b/>
          <w:bCs/>
        </w:rPr>
        <w:t>influencing changes in Australia’s exchange rate.</w:t>
      </w:r>
    </w:p>
    <w:p w14:paraId="15F364EA" w14:textId="38260FFE" w:rsidR="008A75C1" w:rsidRDefault="008A75C1" w:rsidP="000E1CFC">
      <w:pPr>
        <w:pStyle w:val="NoSpacing"/>
        <w:numPr>
          <w:ilvl w:val="0"/>
          <w:numId w:val="2"/>
        </w:numPr>
        <w:jc w:val="both"/>
        <w:rPr>
          <w:b/>
          <w:bCs/>
        </w:rPr>
      </w:pPr>
      <w:r>
        <w:rPr>
          <w:b/>
          <w:bCs/>
        </w:rPr>
        <w:t>Explain why the AUD</w:t>
      </w:r>
      <w:r w:rsidRPr="008A75C1">
        <w:rPr>
          <w:b/>
          <w:bCs/>
        </w:rPr>
        <w:t xml:space="preserve"> is typically considered a ‘risk-sensitive’ currency</w:t>
      </w:r>
      <w:r>
        <w:rPr>
          <w:b/>
          <w:bCs/>
        </w:rPr>
        <w:t>.</w:t>
      </w:r>
    </w:p>
    <w:p w14:paraId="6C6BAA86" w14:textId="0A6823C8" w:rsidR="00415242" w:rsidRDefault="00BB70C5" w:rsidP="00C462C6">
      <w:pPr>
        <w:pStyle w:val="NoSpacing"/>
        <w:numPr>
          <w:ilvl w:val="0"/>
          <w:numId w:val="2"/>
        </w:numPr>
        <w:jc w:val="both"/>
        <w:rPr>
          <w:b/>
          <w:bCs/>
        </w:rPr>
      </w:pPr>
      <w:r>
        <w:rPr>
          <w:b/>
          <w:bCs/>
        </w:rPr>
        <w:t>Referring to Graph 10, d</w:t>
      </w:r>
      <w:r w:rsidR="0035270D" w:rsidRPr="00A0498A">
        <w:rPr>
          <w:b/>
          <w:bCs/>
        </w:rPr>
        <w:t xml:space="preserve">escribe the relationship between </w:t>
      </w:r>
      <w:r w:rsidR="0047034D" w:rsidRPr="00A0498A">
        <w:rPr>
          <w:b/>
          <w:bCs/>
        </w:rPr>
        <w:t xml:space="preserve">US equities (as measured by a leading </w:t>
      </w:r>
      <w:proofErr w:type="spellStart"/>
      <w:r w:rsidR="0047034D" w:rsidRPr="00A0498A">
        <w:rPr>
          <w:b/>
          <w:bCs/>
        </w:rPr>
        <w:t>stockmarket</w:t>
      </w:r>
      <w:proofErr w:type="spellEnd"/>
      <w:r w:rsidR="0047034D" w:rsidRPr="00A0498A">
        <w:rPr>
          <w:b/>
          <w:bCs/>
        </w:rPr>
        <w:t xml:space="preserve"> index – the S&amp;P 500</w:t>
      </w:r>
      <w:r w:rsidR="00A0498A" w:rsidRPr="00A0498A">
        <w:rPr>
          <w:b/>
          <w:bCs/>
        </w:rPr>
        <w:t>)</w:t>
      </w:r>
      <w:r w:rsidR="00A0498A">
        <w:rPr>
          <w:b/>
          <w:bCs/>
        </w:rPr>
        <w:t xml:space="preserve"> and Australia’s exchange rate.</w:t>
      </w:r>
    </w:p>
    <w:p w14:paraId="58315F29" w14:textId="0E96FA8F" w:rsidR="00695E4D" w:rsidRDefault="003C560B" w:rsidP="00C462C6">
      <w:pPr>
        <w:pStyle w:val="NoSpacing"/>
        <w:numPr>
          <w:ilvl w:val="0"/>
          <w:numId w:val="2"/>
        </w:numPr>
        <w:jc w:val="both"/>
        <w:rPr>
          <w:b/>
          <w:bCs/>
        </w:rPr>
      </w:pPr>
      <w:r>
        <w:rPr>
          <w:b/>
          <w:bCs/>
        </w:rPr>
        <w:t xml:space="preserve">Explain how each of the following might account for </w:t>
      </w:r>
      <w:r w:rsidR="0014577E">
        <w:rPr>
          <w:b/>
          <w:bCs/>
        </w:rPr>
        <w:t>the Australian exchange rate behaving the way you described in the previous question.</w:t>
      </w:r>
      <w:r>
        <w:rPr>
          <w:b/>
          <w:bCs/>
        </w:rPr>
        <w:t xml:space="preserve">  </w:t>
      </w:r>
    </w:p>
    <w:p w14:paraId="5116EACF" w14:textId="1211A50B" w:rsidR="003B144A" w:rsidRDefault="003B144A" w:rsidP="003B144A">
      <w:pPr>
        <w:pStyle w:val="NoSpacing"/>
        <w:numPr>
          <w:ilvl w:val="1"/>
          <w:numId w:val="2"/>
        </w:numPr>
        <w:jc w:val="both"/>
        <w:rPr>
          <w:b/>
          <w:bCs/>
        </w:rPr>
      </w:pPr>
      <w:r>
        <w:rPr>
          <w:b/>
          <w:bCs/>
        </w:rPr>
        <w:t xml:space="preserve">The USD considered a ‘safe haven’ </w:t>
      </w:r>
      <w:proofErr w:type="gramStart"/>
      <w:r>
        <w:rPr>
          <w:b/>
          <w:bCs/>
        </w:rPr>
        <w:t>currency</w:t>
      </w:r>
      <w:proofErr w:type="gramEnd"/>
    </w:p>
    <w:p w14:paraId="49F55928" w14:textId="0A7E1994" w:rsidR="003B144A" w:rsidRDefault="004D2951" w:rsidP="003B144A">
      <w:pPr>
        <w:pStyle w:val="NoSpacing"/>
        <w:numPr>
          <w:ilvl w:val="1"/>
          <w:numId w:val="2"/>
        </w:numPr>
        <w:jc w:val="both"/>
        <w:rPr>
          <w:b/>
          <w:bCs/>
        </w:rPr>
      </w:pPr>
      <w:r>
        <w:rPr>
          <w:b/>
          <w:bCs/>
        </w:rPr>
        <w:t xml:space="preserve">The </w:t>
      </w:r>
      <w:r w:rsidRPr="004D2951">
        <w:rPr>
          <w:b/>
          <w:bCs/>
        </w:rPr>
        <w:t xml:space="preserve">unwinding of ‘carry </w:t>
      </w:r>
      <w:proofErr w:type="gramStart"/>
      <w:r w:rsidRPr="004D2951">
        <w:rPr>
          <w:b/>
          <w:bCs/>
        </w:rPr>
        <w:t>trades’</w:t>
      </w:r>
      <w:proofErr w:type="gramEnd"/>
    </w:p>
    <w:p w14:paraId="71860722" w14:textId="5A1A7D26" w:rsidR="0014577E" w:rsidRPr="00A0498A" w:rsidRDefault="005443B5" w:rsidP="00C462C6">
      <w:pPr>
        <w:pStyle w:val="NoSpacing"/>
        <w:numPr>
          <w:ilvl w:val="0"/>
          <w:numId w:val="2"/>
        </w:numPr>
        <w:jc w:val="both"/>
        <w:rPr>
          <w:b/>
          <w:bCs/>
        </w:rPr>
      </w:pPr>
      <w:r>
        <w:rPr>
          <w:b/>
          <w:bCs/>
        </w:rPr>
        <w:t xml:space="preserve">Explain why a </w:t>
      </w:r>
      <w:r w:rsidRPr="005443B5">
        <w:rPr>
          <w:b/>
          <w:bCs/>
        </w:rPr>
        <w:t>flexible exchange rate allows the Reserve Bank to set monetary policy in a way that responds to domestic economic conditions to achieve its objectives.</w:t>
      </w:r>
    </w:p>
    <w:p w14:paraId="4FDF88BF" w14:textId="4D8DF502" w:rsidR="00415242" w:rsidRDefault="00415242" w:rsidP="00C71CC0">
      <w:pPr>
        <w:pStyle w:val="NoSpacing"/>
        <w:jc w:val="both"/>
        <w:rPr>
          <w:b/>
          <w:bCs/>
        </w:rPr>
      </w:pPr>
    </w:p>
    <w:sectPr w:rsidR="00415242" w:rsidSect="000E64D4">
      <w:headerReference w:type="default" r:id="rId14"/>
      <w:pgSz w:w="12240" w:h="15840"/>
      <w:pgMar w:top="720" w:right="720" w:bottom="720" w:left="72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E0D3" w14:textId="77777777" w:rsidR="007B6690" w:rsidRDefault="007B6690" w:rsidP="000E64D4">
      <w:pPr>
        <w:spacing w:after="0" w:line="240" w:lineRule="auto"/>
      </w:pPr>
      <w:r>
        <w:separator/>
      </w:r>
    </w:p>
  </w:endnote>
  <w:endnote w:type="continuationSeparator" w:id="0">
    <w:p w14:paraId="1535C5F2" w14:textId="77777777" w:rsidR="007B6690" w:rsidRDefault="007B6690" w:rsidP="000E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486C" w14:textId="77777777" w:rsidR="007B6690" w:rsidRDefault="007B6690" w:rsidP="000E64D4">
      <w:pPr>
        <w:spacing w:after="0" w:line="240" w:lineRule="auto"/>
      </w:pPr>
      <w:r>
        <w:separator/>
      </w:r>
    </w:p>
  </w:footnote>
  <w:footnote w:type="continuationSeparator" w:id="0">
    <w:p w14:paraId="0FEC0AED" w14:textId="77777777" w:rsidR="007B6690" w:rsidRDefault="007B6690" w:rsidP="000E6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056742"/>
      <w:docPartObj>
        <w:docPartGallery w:val="Page Numbers (Top of Page)"/>
        <w:docPartUnique/>
      </w:docPartObj>
    </w:sdtPr>
    <w:sdtEndPr>
      <w:rPr>
        <w:noProof/>
      </w:rPr>
    </w:sdtEndPr>
    <w:sdtContent>
      <w:p w14:paraId="33695EB0" w14:textId="14F5A77C" w:rsidR="000E64D4" w:rsidRDefault="000E64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517E9C" w14:textId="77777777" w:rsidR="000E64D4" w:rsidRDefault="000E6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F52"/>
    <w:multiLevelType w:val="hybridMultilevel"/>
    <w:tmpl w:val="4900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51428"/>
    <w:multiLevelType w:val="multilevel"/>
    <w:tmpl w:val="FB4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D6F5E"/>
    <w:multiLevelType w:val="hybridMultilevel"/>
    <w:tmpl w:val="4EEE5ED4"/>
    <w:lvl w:ilvl="0" w:tplc="A1EC6EF8">
      <w:start w:val="1"/>
      <w:numFmt w:val="decimal"/>
      <w:lvlText w:val="%1."/>
      <w:lvlJc w:val="left"/>
      <w:pPr>
        <w:ind w:left="360" w:hanging="360"/>
      </w:pPr>
      <w:rPr>
        <w:b/>
        <w:bCs/>
      </w:rPr>
    </w:lvl>
    <w:lvl w:ilvl="1" w:tplc="539ACCE4">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42"/>
    <w:rsid w:val="000415DA"/>
    <w:rsid w:val="00053E45"/>
    <w:rsid w:val="00063D6B"/>
    <w:rsid w:val="000A7DA6"/>
    <w:rsid w:val="000D28C5"/>
    <w:rsid w:val="000E1CFC"/>
    <w:rsid w:val="000E64D4"/>
    <w:rsid w:val="000F114C"/>
    <w:rsid w:val="000F30F4"/>
    <w:rsid w:val="001018CE"/>
    <w:rsid w:val="001041BB"/>
    <w:rsid w:val="00107CFB"/>
    <w:rsid w:val="00114E9E"/>
    <w:rsid w:val="00116C06"/>
    <w:rsid w:val="0011730E"/>
    <w:rsid w:val="0014577E"/>
    <w:rsid w:val="001824C3"/>
    <w:rsid w:val="0019300B"/>
    <w:rsid w:val="001B451E"/>
    <w:rsid w:val="001F0FA0"/>
    <w:rsid w:val="001F2CD5"/>
    <w:rsid w:val="00200F18"/>
    <w:rsid w:val="00247178"/>
    <w:rsid w:val="0027313D"/>
    <w:rsid w:val="0028473D"/>
    <w:rsid w:val="002953E3"/>
    <w:rsid w:val="002E353A"/>
    <w:rsid w:val="0031037D"/>
    <w:rsid w:val="00311C80"/>
    <w:rsid w:val="003378BE"/>
    <w:rsid w:val="0035270D"/>
    <w:rsid w:val="00373C84"/>
    <w:rsid w:val="00396ACF"/>
    <w:rsid w:val="003A2F87"/>
    <w:rsid w:val="003B144A"/>
    <w:rsid w:val="003C560B"/>
    <w:rsid w:val="003D2E87"/>
    <w:rsid w:val="00415242"/>
    <w:rsid w:val="00420D7B"/>
    <w:rsid w:val="00443526"/>
    <w:rsid w:val="0045209E"/>
    <w:rsid w:val="00464FA8"/>
    <w:rsid w:val="0047034D"/>
    <w:rsid w:val="004A6E6F"/>
    <w:rsid w:val="004D1492"/>
    <w:rsid w:val="004D2951"/>
    <w:rsid w:val="005072A4"/>
    <w:rsid w:val="00525D2D"/>
    <w:rsid w:val="00540015"/>
    <w:rsid w:val="005443B5"/>
    <w:rsid w:val="00571A46"/>
    <w:rsid w:val="0057285A"/>
    <w:rsid w:val="0058396D"/>
    <w:rsid w:val="00636AD7"/>
    <w:rsid w:val="0068099F"/>
    <w:rsid w:val="00683E42"/>
    <w:rsid w:val="00695E4D"/>
    <w:rsid w:val="006B0FAC"/>
    <w:rsid w:val="00716DE0"/>
    <w:rsid w:val="00731C07"/>
    <w:rsid w:val="007543E8"/>
    <w:rsid w:val="007712C9"/>
    <w:rsid w:val="007848A2"/>
    <w:rsid w:val="007B4DD1"/>
    <w:rsid w:val="007B6690"/>
    <w:rsid w:val="007B77BE"/>
    <w:rsid w:val="007F1631"/>
    <w:rsid w:val="008078C8"/>
    <w:rsid w:val="00827C7D"/>
    <w:rsid w:val="00856968"/>
    <w:rsid w:val="0088771E"/>
    <w:rsid w:val="00894935"/>
    <w:rsid w:val="008A75C1"/>
    <w:rsid w:val="0094373D"/>
    <w:rsid w:val="009450F5"/>
    <w:rsid w:val="00950FA9"/>
    <w:rsid w:val="00963DA5"/>
    <w:rsid w:val="0097179E"/>
    <w:rsid w:val="00987717"/>
    <w:rsid w:val="0098773A"/>
    <w:rsid w:val="00992DB0"/>
    <w:rsid w:val="009A121F"/>
    <w:rsid w:val="009C421B"/>
    <w:rsid w:val="00A0498A"/>
    <w:rsid w:val="00B05A7C"/>
    <w:rsid w:val="00B37A66"/>
    <w:rsid w:val="00B80B8D"/>
    <w:rsid w:val="00BB086D"/>
    <w:rsid w:val="00BB105F"/>
    <w:rsid w:val="00BB167A"/>
    <w:rsid w:val="00BB70C5"/>
    <w:rsid w:val="00BC1869"/>
    <w:rsid w:val="00C22C2B"/>
    <w:rsid w:val="00C25B24"/>
    <w:rsid w:val="00C3111A"/>
    <w:rsid w:val="00C41BFF"/>
    <w:rsid w:val="00C64B4F"/>
    <w:rsid w:val="00C71CC0"/>
    <w:rsid w:val="00C92426"/>
    <w:rsid w:val="00CA6448"/>
    <w:rsid w:val="00CB243F"/>
    <w:rsid w:val="00CC16B4"/>
    <w:rsid w:val="00CF4F9C"/>
    <w:rsid w:val="00D03909"/>
    <w:rsid w:val="00D12278"/>
    <w:rsid w:val="00D14D8B"/>
    <w:rsid w:val="00D23068"/>
    <w:rsid w:val="00D52455"/>
    <w:rsid w:val="00DA1422"/>
    <w:rsid w:val="00DA5992"/>
    <w:rsid w:val="00DC3557"/>
    <w:rsid w:val="00DE1C97"/>
    <w:rsid w:val="00E01466"/>
    <w:rsid w:val="00E12E42"/>
    <w:rsid w:val="00E378D2"/>
    <w:rsid w:val="00E52617"/>
    <w:rsid w:val="00E55988"/>
    <w:rsid w:val="00E70589"/>
    <w:rsid w:val="00EB7E60"/>
    <w:rsid w:val="00EE6D15"/>
    <w:rsid w:val="00F32627"/>
    <w:rsid w:val="00F516F9"/>
    <w:rsid w:val="00F53CBB"/>
    <w:rsid w:val="00F57E35"/>
    <w:rsid w:val="00F57F57"/>
    <w:rsid w:val="00F90F59"/>
    <w:rsid w:val="00F91B08"/>
    <w:rsid w:val="00FA7BB6"/>
    <w:rsid w:val="00FB5E71"/>
    <w:rsid w:val="00FB6308"/>
    <w:rsid w:val="00FC3B5D"/>
    <w:rsid w:val="00FE0753"/>
    <w:rsid w:val="00FE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7CE4"/>
  <w15:chartTrackingRefBased/>
  <w15:docId w15:val="{653E3721-E11B-4772-A6AC-A3D95DF7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2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E42"/>
    <w:pPr>
      <w:spacing w:after="0" w:line="240" w:lineRule="auto"/>
    </w:pPr>
  </w:style>
  <w:style w:type="character" w:customStyle="1" w:styleId="Heading1Char">
    <w:name w:val="Heading 1 Char"/>
    <w:basedOn w:val="DefaultParagraphFont"/>
    <w:link w:val="Heading1"/>
    <w:uiPriority w:val="9"/>
    <w:rsid w:val="000D28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31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D4"/>
  </w:style>
  <w:style w:type="paragraph" w:styleId="Footer">
    <w:name w:val="footer"/>
    <w:basedOn w:val="Normal"/>
    <w:link w:val="FooterChar"/>
    <w:uiPriority w:val="99"/>
    <w:unhideWhenUsed/>
    <w:rsid w:val="000E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373219">
      <w:bodyDiv w:val="1"/>
      <w:marLeft w:val="0"/>
      <w:marRight w:val="0"/>
      <w:marTop w:val="0"/>
      <w:marBottom w:val="0"/>
      <w:divBdr>
        <w:top w:val="none" w:sz="0" w:space="0" w:color="auto"/>
        <w:left w:val="none" w:sz="0" w:space="0" w:color="auto"/>
        <w:bottom w:val="none" w:sz="0" w:space="0" w:color="auto"/>
        <w:right w:val="none" w:sz="0" w:space="0" w:color="auto"/>
      </w:divBdr>
      <w:divsChild>
        <w:div w:id="560794270">
          <w:marLeft w:val="0"/>
          <w:marRight w:val="0"/>
          <w:marTop w:val="225"/>
          <w:marBottom w:val="450"/>
          <w:divBdr>
            <w:top w:val="none" w:sz="0" w:space="8" w:color="F3F6FF"/>
            <w:left w:val="none" w:sz="0" w:space="11" w:color="F3F6FF"/>
            <w:bottom w:val="none" w:sz="0" w:space="8" w:color="F3F6FF"/>
            <w:right w:val="none" w:sz="0" w:space="11" w:color="F3F6FF"/>
          </w:divBdr>
        </w:div>
      </w:divsChild>
    </w:div>
    <w:div w:id="1612735840">
      <w:bodyDiv w:val="1"/>
      <w:marLeft w:val="0"/>
      <w:marRight w:val="0"/>
      <w:marTop w:val="0"/>
      <w:marBottom w:val="0"/>
      <w:divBdr>
        <w:top w:val="none" w:sz="0" w:space="0" w:color="auto"/>
        <w:left w:val="none" w:sz="0" w:space="0" w:color="auto"/>
        <w:bottom w:val="none" w:sz="0" w:space="0" w:color="auto"/>
        <w:right w:val="none" w:sz="0" w:space="0" w:color="auto"/>
      </w:divBdr>
      <w:divsChild>
        <w:div w:id="2054232581">
          <w:marLeft w:val="0"/>
          <w:marRight w:val="0"/>
          <w:marTop w:val="450"/>
          <w:marBottom w:val="450"/>
          <w:divBdr>
            <w:top w:val="none" w:sz="0" w:space="0" w:color="auto"/>
            <w:left w:val="none" w:sz="0" w:space="0" w:color="auto"/>
            <w:bottom w:val="none" w:sz="0" w:space="0" w:color="auto"/>
            <w:right w:val="none" w:sz="0" w:space="0" w:color="auto"/>
          </w:divBdr>
          <w:divsChild>
            <w:div w:id="590086217">
              <w:marLeft w:val="0"/>
              <w:marRight w:val="0"/>
              <w:marTop w:val="0"/>
              <w:marBottom w:val="75"/>
              <w:divBdr>
                <w:top w:val="none" w:sz="0" w:space="0" w:color="auto"/>
                <w:left w:val="none" w:sz="0" w:space="0" w:color="auto"/>
                <w:bottom w:val="none" w:sz="0" w:space="0" w:color="auto"/>
                <w:right w:val="none" w:sz="0" w:space="0" w:color="auto"/>
              </w:divBdr>
            </w:div>
          </w:divsChild>
        </w:div>
        <w:div w:id="1853183522">
          <w:marLeft w:val="0"/>
          <w:marRight w:val="0"/>
          <w:marTop w:val="450"/>
          <w:marBottom w:val="450"/>
          <w:divBdr>
            <w:top w:val="none" w:sz="0" w:space="0" w:color="auto"/>
            <w:left w:val="none" w:sz="0" w:space="0" w:color="auto"/>
            <w:bottom w:val="none" w:sz="0" w:space="0" w:color="auto"/>
            <w:right w:val="none" w:sz="0" w:space="0" w:color="auto"/>
          </w:divBdr>
          <w:divsChild>
            <w:div w:id="930240221">
              <w:marLeft w:val="0"/>
              <w:marRight w:val="0"/>
              <w:marTop w:val="0"/>
              <w:marBottom w:val="75"/>
              <w:divBdr>
                <w:top w:val="none" w:sz="0" w:space="0" w:color="auto"/>
                <w:left w:val="none" w:sz="0" w:space="0" w:color="auto"/>
                <w:bottom w:val="none" w:sz="0" w:space="0" w:color="auto"/>
                <w:right w:val="none" w:sz="0" w:space="0" w:color="auto"/>
              </w:divBdr>
            </w:div>
          </w:divsChild>
        </w:div>
        <w:div w:id="468783383">
          <w:marLeft w:val="0"/>
          <w:marRight w:val="0"/>
          <w:marTop w:val="450"/>
          <w:marBottom w:val="450"/>
          <w:divBdr>
            <w:top w:val="none" w:sz="0" w:space="0" w:color="auto"/>
            <w:left w:val="none" w:sz="0" w:space="0" w:color="auto"/>
            <w:bottom w:val="none" w:sz="0" w:space="0" w:color="auto"/>
            <w:right w:val="none" w:sz="0" w:space="0" w:color="auto"/>
          </w:divBdr>
          <w:divsChild>
            <w:div w:id="124936770">
              <w:marLeft w:val="0"/>
              <w:marRight w:val="0"/>
              <w:marTop w:val="0"/>
              <w:marBottom w:val="75"/>
              <w:divBdr>
                <w:top w:val="none" w:sz="0" w:space="0" w:color="auto"/>
                <w:left w:val="none" w:sz="0" w:space="0" w:color="auto"/>
                <w:bottom w:val="none" w:sz="0" w:space="0" w:color="auto"/>
                <w:right w:val="none" w:sz="0" w:space="0" w:color="auto"/>
              </w:divBdr>
            </w:div>
          </w:divsChild>
        </w:div>
        <w:div w:id="597834211">
          <w:marLeft w:val="0"/>
          <w:marRight w:val="0"/>
          <w:marTop w:val="450"/>
          <w:marBottom w:val="450"/>
          <w:divBdr>
            <w:top w:val="none" w:sz="0" w:space="0" w:color="auto"/>
            <w:left w:val="none" w:sz="0" w:space="0" w:color="auto"/>
            <w:bottom w:val="none" w:sz="0" w:space="0" w:color="auto"/>
            <w:right w:val="none" w:sz="0" w:space="0" w:color="auto"/>
          </w:divBdr>
          <w:divsChild>
            <w:div w:id="557399238">
              <w:marLeft w:val="0"/>
              <w:marRight w:val="0"/>
              <w:marTop w:val="0"/>
              <w:marBottom w:val="75"/>
              <w:divBdr>
                <w:top w:val="none" w:sz="0" w:space="0" w:color="auto"/>
                <w:left w:val="none" w:sz="0" w:space="0" w:color="auto"/>
                <w:bottom w:val="none" w:sz="0" w:space="0" w:color="auto"/>
                <w:right w:val="none" w:sz="0" w:space="0" w:color="auto"/>
              </w:divBdr>
            </w:div>
          </w:divsChild>
        </w:div>
        <w:div w:id="1767460733">
          <w:marLeft w:val="0"/>
          <w:marRight w:val="0"/>
          <w:marTop w:val="450"/>
          <w:marBottom w:val="450"/>
          <w:divBdr>
            <w:top w:val="none" w:sz="0" w:space="0" w:color="auto"/>
            <w:left w:val="none" w:sz="0" w:space="0" w:color="auto"/>
            <w:bottom w:val="none" w:sz="0" w:space="0" w:color="auto"/>
            <w:right w:val="none" w:sz="0" w:space="0" w:color="auto"/>
          </w:divBdr>
          <w:divsChild>
            <w:div w:id="1251430508">
              <w:marLeft w:val="0"/>
              <w:marRight w:val="0"/>
              <w:marTop w:val="0"/>
              <w:marBottom w:val="75"/>
              <w:divBdr>
                <w:top w:val="none" w:sz="0" w:space="0" w:color="auto"/>
                <w:left w:val="none" w:sz="0" w:space="0" w:color="auto"/>
                <w:bottom w:val="none" w:sz="0" w:space="0" w:color="auto"/>
                <w:right w:val="none" w:sz="0" w:space="0" w:color="auto"/>
              </w:divBdr>
            </w:div>
          </w:divsChild>
        </w:div>
        <w:div w:id="1218587180">
          <w:marLeft w:val="0"/>
          <w:marRight w:val="0"/>
          <w:marTop w:val="450"/>
          <w:marBottom w:val="450"/>
          <w:divBdr>
            <w:top w:val="none" w:sz="0" w:space="0" w:color="auto"/>
            <w:left w:val="none" w:sz="0" w:space="0" w:color="auto"/>
            <w:bottom w:val="none" w:sz="0" w:space="0" w:color="auto"/>
            <w:right w:val="none" w:sz="0" w:space="0" w:color="auto"/>
          </w:divBdr>
          <w:divsChild>
            <w:div w:id="65881582">
              <w:marLeft w:val="0"/>
              <w:marRight w:val="0"/>
              <w:marTop w:val="0"/>
              <w:marBottom w:val="75"/>
              <w:divBdr>
                <w:top w:val="none" w:sz="0" w:space="0" w:color="auto"/>
                <w:left w:val="none" w:sz="0" w:space="0" w:color="auto"/>
                <w:bottom w:val="none" w:sz="0" w:space="0" w:color="auto"/>
                <w:right w:val="none" w:sz="0" w:space="0" w:color="auto"/>
              </w:divBdr>
            </w:div>
          </w:divsChild>
        </w:div>
        <w:div w:id="1038745861">
          <w:marLeft w:val="0"/>
          <w:marRight w:val="0"/>
          <w:marTop w:val="450"/>
          <w:marBottom w:val="450"/>
          <w:divBdr>
            <w:top w:val="none" w:sz="0" w:space="0" w:color="auto"/>
            <w:left w:val="none" w:sz="0" w:space="0" w:color="auto"/>
            <w:bottom w:val="none" w:sz="0" w:space="0" w:color="auto"/>
            <w:right w:val="none" w:sz="0" w:space="0" w:color="auto"/>
          </w:divBdr>
          <w:divsChild>
            <w:div w:id="1559592023">
              <w:marLeft w:val="0"/>
              <w:marRight w:val="0"/>
              <w:marTop w:val="0"/>
              <w:marBottom w:val="75"/>
              <w:divBdr>
                <w:top w:val="none" w:sz="0" w:space="0" w:color="auto"/>
                <w:left w:val="none" w:sz="0" w:space="0" w:color="auto"/>
                <w:bottom w:val="none" w:sz="0" w:space="0" w:color="auto"/>
                <w:right w:val="none" w:sz="0" w:space="0" w:color="auto"/>
              </w:divBdr>
            </w:div>
          </w:divsChild>
        </w:div>
        <w:div w:id="1717392380">
          <w:marLeft w:val="0"/>
          <w:marRight w:val="0"/>
          <w:marTop w:val="450"/>
          <w:marBottom w:val="450"/>
          <w:divBdr>
            <w:top w:val="none" w:sz="0" w:space="0" w:color="auto"/>
            <w:left w:val="none" w:sz="0" w:space="0" w:color="auto"/>
            <w:bottom w:val="none" w:sz="0" w:space="0" w:color="auto"/>
            <w:right w:val="none" w:sz="0" w:space="0" w:color="auto"/>
          </w:divBdr>
          <w:divsChild>
            <w:div w:id="845368134">
              <w:marLeft w:val="0"/>
              <w:marRight w:val="0"/>
              <w:marTop w:val="0"/>
              <w:marBottom w:val="75"/>
              <w:divBdr>
                <w:top w:val="none" w:sz="0" w:space="0" w:color="auto"/>
                <w:left w:val="none" w:sz="0" w:space="0" w:color="auto"/>
                <w:bottom w:val="none" w:sz="0" w:space="0" w:color="auto"/>
                <w:right w:val="none" w:sz="0" w:space="0" w:color="auto"/>
              </w:divBdr>
            </w:div>
          </w:divsChild>
        </w:div>
        <w:div w:id="1417365136">
          <w:marLeft w:val="0"/>
          <w:marRight w:val="0"/>
          <w:marTop w:val="450"/>
          <w:marBottom w:val="450"/>
          <w:divBdr>
            <w:top w:val="none" w:sz="0" w:space="0" w:color="auto"/>
            <w:left w:val="none" w:sz="0" w:space="0" w:color="auto"/>
            <w:bottom w:val="none" w:sz="0" w:space="0" w:color="auto"/>
            <w:right w:val="none" w:sz="0" w:space="0" w:color="auto"/>
          </w:divBdr>
          <w:divsChild>
            <w:div w:id="317154373">
              <w:marLeft w:val="0"/>
              <w:marRight w:val="0"/>
              <w:marTop w:val="0"/>
              <w:marBottom w:val="75"/>
              <w:divBdr>
                <w:top w:val="none" w:sz="0" w:space="0" w:color="auto"/>
                <w:left w:val="none" w:sz="0" w:space="0" w:color="auto"/>
                <w:bottom w:val="none" w:sz="0" w:space="0" w:color="auto"/>
                <w:right w:val="none" w:sz="0" w:space="0" w:color="auto"/>
              </w:divBdr>
            </w:div>
          </w:divsChild>
        </w:div>
        <w:div w:id="992491314">
          <w:marLeft w:val="0"/>
          <w:marRight w:val="0"/>
          <w:marTop w:val="450"/>
          <w:marBottom w:val="450"/>
          <w:divBdr>
            <w:top w:val="none" w:sz="0" w:space="0" w:color="auto"/>
            <w:left w:val="none" w:sz="0" w:space="0" w:color="auto"/>
            <w:bottom w:val="none" w:sz="0" w:space="0" w:color="auto"/>
            <w:right w:val="none" w:sz="0" w:space="0" w:color="auto"/>
          </w:divBdr>
          <w:divsChild>
            <w:div w:id="699431182">
              <w:marLeft w:val="0"/>
              <w:marRight w:val="0"/>
              <w:marTop w:val="0"/>
              <w:marBottom w:val="75"/>
              <w:divBdr>
                <w:top w:val="none" w:sz="0" w:space="0" w:color="auto"/>
                <w:left w:val="none" w:sz="0" w:space="0" w:color="auto"/>
                <w:bottom w:val="none" w:sz="0" w:space="0" w:color="auto"/>
                <w:right w:val="none" w:sz="0" w:space="0" w:color="auto"/>
              </w:divBdr>
            </w:div>
          </w:divsChild>
        </w:div>
        <w:div w:id="178008225">
          <w:marLeft w:val="0"/>
          <w:marRight w:val="0"/>
          <w:marTop w:val="450"/>
          <w:marBottom w:val="225"/>
          <w:divBdr>
            <w:top w:val="single" w:sz="18" w:space="0" w:color="F6F6F6"/>
            <w:left w:val="none" w:sz="0" w:space="0" w:color="auto"/>
            <w:bottom w:val="none" w:sz="0" w:space="0" w:color="auto"/>
            <w:right w:val="none" w:sz="0" w:space="0" w:color="auto"/>
          </w:divBdr>
        </w:div>
        <w:div w:id="961957165">
          <w:marLeft w:val="0"/>
          <w:marRight w:val="0"/>
          <w:marTop w:val="450"/>
          <w:marBottom w:val="225"/>
          <w:divBdr>
            <w:top w:val="single" w:sz="18" w:space="0" w:color="F6F6F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3</cp:revision>
  <dcterms:created xsi:type="dcterms:W3CDTF">2021-03-23T07:46:00Z</dcterms:created>
  <dcterms:modified xsi:type="dcterms:W3CDTF">2021-03-23T07:56:00Z</dcterms:modified>
</cp:coreProperties>
</file>