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A7DD0" w14:textId="0D57A6B8" w:rsidR="00262E80" w:rsidRPr="00262E80" w:rsidRDefault="00262E80" w:rsidP="00262E80">
      <w:pPr>
        <w:pStyle w:val="NoSpacing"/>
        <w:jc w:val="center"/>
        <w:rPr>
          <w:b/>
          <w:bCs/>
          <w:sz w:val="19"/>
          <w:szCs w:val="19"/>
        </w:rPr>
      </w:pPr>
      <w:r w:rsidRPr="00262E80">
        <w:rPr>
          <w:b/>
          <w:bCs/>
          <w:sz w:val="19"/>
          <w:szCs w:val="19"/>
        </w:rPr>
        <w:t xml:space="preserve">Applied </w:t>
      </w:r>
      <w:r w:rsidR="001624C0">
        <w:rPr>
          <w:b/>
          <w:bCs/>
          <w:sz w:val="19"/>
          <w:szCs w:val="19"/>
        </w:rPr>
        <w:t>E</w:t>
      </w:r>
      <w:r w:rsidRPr="00262E80">
        <w:rPr>
          <w:b/>
          <w:bCs/>
          <w:sz w:val="19"/>
          <w:szCs w:val="19"/>
        </w:rPr>
        <w:t xml:space="preserve">conomic </w:t>
      </w:r>
      <w:r w:rsidR="001624C0">
        <w:rPr>
          <w:b/>
          <w:bCs/>
          <w:sz w:val="19"/>
          <w:szCs w:val="19"/>
        </w:rPr>
        <w:t>E</w:t>
      </w:r>
      <w:r w:rsidRPr="00262E80">
        <w:rPr>
          <w:b/>
          <w:bCs/>
          <w:sz w:val="19"/>
          <w:szCs w:val="19"/>
        </w:rPr>
        <w:t>xercise</w:t>
      </w:r>
    </w:p>
    <w:p w14:paraId="1F5C3393" w14:textId="01E4B4CD" w:rsidR="001624C0" w:rsidRPr="001624C0" w:rsidRDefault="001624C0" w:rsidP="001624C0">
      <w:pPr>
        <w:pStyle w:val="NoSpacing"/>
        <w:jc w:val="center"/>
        <w:rPr>
          <w:b/>
          <w:bCs/>
          <w:sz w:val="19"/>
          <w:szCs w:val="19"/>
        </w:rPr>
      </w:pPr>
      <w:r w:rsidRPr="001624C0">
        <w:rPr>
          <w:b/>
          <w:bCs/>
          <w:sz w:val="19"/>
          <w:szCs w:val="19"/>
        </w:rPr>
        <w:t xml:space="preserve">Read </w:t>
      </w:r>
      <w:bookmarkStart w:id="0" w:name="_Hlk65661862"/>
      <w:r w:rsidRPr="001624C0">
        <w:rPr>
          <w:b/>
          <w:bCs/>
          <w:sz w:val="19"/>
          <w:szCs w:val="19"/>
        </w:rPr>
        <w:t xml:space="preserve">the edited </w:t>
      </w:r>
      <w:r w:rsidRPr="00047D80">
        <w:rPr>
          <w:b/>
          <w:bCs/>
          <w:sz w:val="19"/>
          <w:szCs w:val="19"/>
        </w:rPr>
        <w:t>Statement by Philip Lowe, Governor: Monetary Policy Decision (March 2021)</w:t>
      </w:r>
      <w:r>
        <w:rPr>
          <w:b/>
          <w:bCs/>
          <w:sz w:val="19"/>
          <w:szCs w:val="19"/>
        </w:rPr>
        <w:t xml:space="preserve"> </w:t>
      </w:r>
      <w:bookmarkEnd w:id="0"/>
      <w:r w:rsidRPr="001624C0">
        <w:rPr>
          <w:b/>
          <w:bCs/>
          <w:sz w:val="19"/>
          <w:szCs w:val="19"/>
        </w:rPr>
        <w:t xml:space="preserve">and answer the questions that follow.  </w:t>
      </w:r>
    </w:p>
    <w:p w14:paraId="234265FB" w14:textId="0C55FC15" w:rsidR="001624C0" w:rsidRDefault="001624C0" w:rsidP="001624C0">
      <w:pPr>
        <w:pStyle w:val="NoSpacing"/>
        <w:jc w:val="center"/>
        <w:rPr>
          <w:b/>
          <w:bCs/>
          <w:sz w:val="19"/>
          <w:szCs w:val="19"/>
        </w:rPr>
      </w:pPr>
      <w:r w:rsidRPr="001624C0">
        <w:rPr>
          <w:b/>
          <w:bCs/>
          <w:sz w:val="19"/>
          <w:szCs w:val="19"/>
        </w:rPr>
        <w:t xml:space="preserve">The full </w:t>
      </w:r>
      <w:r>
        <w:rPr>
          <w:b/>
          <w:bCs/>
          <w:sz w:val="19"/>
          <w:szCs w:val="19"/>
        </w:rPr>
        <w:t xml:space="preserve">statement </w:t>
      </w:r>
      <w:r w:rsidRPr="001624C0">
        <w:rPr>
          <w:b/>
          <w:bCs/>
          <w:sz w:val="19"/>
          <w:szCs w:val="19"/>
        </w:rPr>
        <w:t xml:space="preserve">can be accessed here: </w:t>
      </w:r>
      <w:hyperlink r:id="rId5" w:history="1">
        <w:r w:rsidRPr="007B667F">
          <w:rPr>
            <w:rStyle w:val="Hyperlink"/>
            <w:b/>
            <w:bCs/>
            <w:sz w:val="19"/>
            <w:szCs w:val="19"/>
          </w:rPr>
          <w:t>https://www.rba.gov.au/media-releases/2021/mr-21-03.html</w:t>
        </w:r>
      </w:hyperlink>
    </w:p>
    <w:p w14:paraId="56DEF1F7" w14:textId="0B99DCDC" w:rsidR="009D7064" w:rsidRPr="009D7064" w:rsidRDefault="009D7064" w:rsidP="00047D80">
      <w:pPr>
        <w:shd w:val="clear" w:color="auto" w:fill="FFFFFF"/>
        <w:spacing w:before="225" w:after="0" w:line="240" w:lineRule="auto"/>
        <w:jc w:val="both"/>
        <w:rPr>
          <w:rFonts w:eastAsia="Times New Roman" w:cstheme="minorHAnsi"/>
          <w:color w:val="000000"/>
          <w:sz w:val="19"/>
          <w:szCs w:val="19"/>
        </w:rPr>
      </w:pPr>
      <w:r w:rsidRPr="00047D80">
        <w:rPr>
          <w:rFonts w:eastAsia="Times New Roman" w:cstheme="minorHAnsi"/>
          <w:color w:val="000000"/>
          <w:sz w:val="19"/>
          <w:szCs w:val="19"/>
        </w:rPr>
        <w:t>…</w:t>
      </w:r>
      <w:r w:rsidRPr="009D7064">
        <w:rPr>
          <w:rFonts w:eastAsia="Times New Roman" w:cstheme="minorHAnsi"/>
          <w:color w:val="000000"/>
          <w:sz w:val="19"/>
          <w:szCs w:val="19"/>
        </w:rPr>
        <w:t xml:space="preserve">The outlook for the global economy has improved over recent months due to the </w:t>
      </w:r>
      <w:r w:rsidRPr="009D7064">
        <w:rPr>
          <w:rFonts w:eastAsia="Times New Roman" w:cstheme="minorHAnsi"/>
          <w:b/>
          <w:bCs/>
          <w:color w:val="000000"/>
          <w:sz w:val="19"/>
          <w:szCs w:val="19"/>
        </w:rPr>
        <w:t>ongoing rollout of vaccines</w:t>
      </w:r>
      <w:r w:rsidRPr="009D7064">
        <w:rPr>
          <w:rFonts w:eastAsia="Times New Roman" w:cstheme="minorHAnsi"/>
          <w:color w:val="000000"/>
          <w:sz w:val="19"/>
          <w:szCs w:val="19"/>
        </w:rPr>
        <w:t xml:space="preserve">. While the path ahead is likely to remain bumpy and uneven, there are better prospects for a sustained recovery than there were a few months ago. Global trade has picked up and commodity prices have increased over recent months. Even so, the recovery remains dependent on the health situation and on significant </w:t>
      </w:r>
      <w:r w:rsidRPr="009D7064">
        <w:rPr>
          <w:rFonts w:eastAsia="Times New Roman" w:cstheme="minorHAnsi"/>
          <w:b/>
          <w:bCs/>
          <w:color w:val="000000"/>
          <w:sz w:val="19"/>
          <w:szCs w:val="19"/>
        </w:rPr>
        <w:t>fiscal and monetary support</w:t>
      </w:r>
      <w:r w:rsidRPr="009D7064">
        <w:rPr>
          <w:rFonts w:eastAsia="Times New Roman" w:cstheme="minorHAnsi"/>
          <w:color w:val="000000"/>
          <w:sz w:val="19"/>
          <w:szCs w:val="19"/>
        </w:rPr>
        <w:t>. Inflation remains low and below central bank targets.</w:t>
      </w:r>
    </w:p>
    <w:p w14:paraId="41F57DFA" w14:textId="77777777" w:rsidR="009D7064" w:rsidRPr="009D7064" w:rsidRDefault="009D7064" w:rsidP="00047D80">
      <w:pPr>
        <w:shd w:val="clear" w:color="auto" w:fill="FFFFFF"/>
        <w:spacing w:before="225" w:after="0" w:line="240" w:lineRule="auto"/>
        <w:jc w:val="both"/>
        <w:rPr>
          <w:rFonts w:eastAsia="Times New Roman" w:cstheme="minorHAnsi"/>
          <w:color w:val="000000"/>
          <w:sz w:val="19"/>
          <w:szCs w:val="19"/>
        </w:rPr>
      </w:pPr>
      <w:r w:rsidRPr="009D7064">
        <w:rPr>
          <w:rFonts w:eastAsia="Times New Roman" w:cstheme="minorHAnsi"/>
          <w:color w:val="000000"/>
          <w:sz w:val="19"/>
          <w:szCs w:val="19"/>
        </w:rPr>
        <w:t xml:space="preserve">The positive news on vaccines together with the prospect of further significant fiscal stimulus in the United States has seen longer-term bond yields increase considerably over the past month. This increase partly reflects </w:t>
      </w:r>
      <w:r w:rsidRPr="009D7064">
        <w:rPr>
          <w:rFonts w:eastAsia="Times New Roman" w:cstheme="minorHAnsi"/>
          <w:b/>
          <w:bCs/>
          <w:color w:val="000000"/>
          <w:sz w:val="19"/>
          <w:szCs w:val="19"/>
        </w:rPr>
        <w:t>a lift in expected inflation over the medium term</w:t>
      </w:r>
      <w:r w:rsidRPr="009D7064">
        <w:rPr>
          <w:rFonts w:eastAsia="Times New Roman" w:cstheme="minorHAnsi"/>
          <w:color w:val="000000"/>
          <w:sz w:val="19"/>
          <w:szCs w:val="19"/>
        </w:rPr>
        <w:t xml:space="preserve"> to rates that are closer to central banks' targets. </w:t>
      </w:r>
      <w:proofErr w:type="gramStart"/>
      <w:r w:rsidRPr="009D7064">
        <w:rPr>
          <w:rFonts w:eastAsia="Times New Roman" w:cstheme="minorHAnsi"/>
          <w:color w:val="000000"/>
          <w:sz w:val="19"/>
          <w:szCs w:val="19"/>
        </w:rPr>
        <w:t>Reflecting these global developments, there</w:t>
      </w:r>
      <w:proofErr w:type="gramEnd"/>
      <w:r w:rsidRPr="009D7064">
        <w:rPr>
          <w:rFonts w:eastAsia="Times New Roman" w:cstheme="minorHAnsi"/>
          <w:color w:val="000000"/>
          <w:sz w:val="19"/>
          <w:szCs w:val="19"/>
        </w:rPr>
        <w:t xml:space="preserve"> have been similar movements in Australian bond markets. Changes in bond yields globally have been associated with volatility in some other asset prices, including foreign exchange rates. The </w:t>
      </w:r>
      <w:r w:rsidRPr="009D7064">
        <w:rPr>
          <w:rFonts w:eastAsia="Times New Roman" w:cstheme="minorHAnsi"/>
          <w:b/>
          <w:bCs/>
          <w:color w:val="000000"/>
          <w:sz w:val="19"/>
          <w:szCs w:val="19"/>
        </w:rPr>
        <w:t>Australian dollar remains in the upper end of the range of recent years</w:t>
      </w:r>
      <w:r w:rsidRPr="009D7064">
        <w:rPr>
          <w:rFonts w:eastAsia="Times New Roman" w:cstheme="minorHAnsi"/>
          <w:color w:val="000000"/>
          <w:sz w:val="19"/>
          <w:szCs w:val="19"/>
        </w:rPr>
        <w:t>.</w:t>
      </w:r>
    </w:p>
    <w:p w14:paraId="01EEB338" w14:textId="77777777" w:rsidR="009D7064" w:rsidRPr="009D7064" w:rsidRDefault="009D7064" w:rsidP="00047D80">
      <w:pPr>
        <w:shd w:val="clear" w:color="auto" w:fill="FFFFFF"/>
        <w:spacing w:before="225" w:after="0" w:line="240" w:lineRule="auto"/>
        <w:jc w:val="both"/>
        <w:rPr>
          <w:rFonts w:eastAsia="Times New Roman" w:cstheme="minorHAnsi"/>
          <w:color w:val="000000"/>
          <w:sz w:val="19"/>
          <w:szCs w:val="19"/>
        </w:rPr>
      </w:pPr>
      <w:r w:rsidRPr="009D7064">
        <w:rPr>
          <w:rFonts w:eastAsia="Times New Roman" w:cstheme="minorHAnsi"/>
          <w:color w:val="000000"/>
          <w:sz w:val="19"/>
          <w:szCs w:val="19"/>
        </w:rPr>
        <w:t xml:space="preserve">In Australia, the economic recovery is well under way and has been stronger than was earlier expected. There has been </w:t>
      </w:r>
      <w:r w:rsidRPr="009D7064">
        <w:rPr>
          <w:rFonts w:eastAsia="Times New Roman" w:cstheme="minorHAnsi"/>
          <w:b/>
          <w:bCs/>
          <w:color w:val="000000"/>
          <w:sz w:val="19"/>
          <w:szCs w:val="19"/>
        </w:rPr>
        <w:t>strong growth in employment and a welcome decline in the unemployment rate to 6.4 per cent</w:t>
      </w:r>
      <w:r w:rsidRPr="009D7064">
        <w:rPr>
          <w:rFonts w:eastAsia="Times New Roman" w:cstheme="minorHAnsi"/>
          <w:color w:val="000000"/>
          <w:sz w:val="19"/>
          <w:szCs w:val="19"/>
        </w:rPr>
        <w:t xml:space="preserve">. Retail spending has been strong and most of the households and businesses that had deferred loan repayments have now recommenced repayments. The recovery is expected to continue, with the central scenario being for </w:t>
      </w:r>
      <w:r w:rsidRPr="009D7064">
        <w:rPr>
          <w:rFonts w:eastAsia="Times New Roman" w:cstheme="minorHAnsi"/>
          <w:b/>
          <w:bCs/>
          <w:color w:val="000000"/>
          <w:sz w:val="19"/>
          <w:szCs w:val="19"/>
        </w:rPr>
        <w:t>GDP to grow by 3½ per cent over both 2021</w:t>
      </w:r>
      <w:r w:rsidRPr="009D7064">
        <w:rPr>
          <w:rFonts w:eastAsia="Times New Roman" w:cstheme="minorHAnsi"/>
          <w:color w:val="000000"/>
          <w:sz w:val="19"/>
          <w:szCs w:val="19"/>
        </w:rPr>
        <w:t xml:space="preserve"> </w:t>
      </w:r>
      <w:r w:rsidRPr="009D7064">
        <w:rPr>
          <w:rFonts w:eastAsia="Times New Roman" w:cstheme="minorHAnsi"/>
          <w:b/>
          <w:bCs/>
          <w:color w:val="000000"/>
          <w:sz w:val="19"/>
          <w:szCs w:val="19"/>
        </w:rPr>
        <w:t>and 2022. GDP is expected to return to its end-2019 level by the middle of this year</w:t>
      </w:r>
      <w:r w:rsidRPr="009D7064">
        <w:rPr>
          <w:rFonts w:eastAsia="Times New Roman" w:cstheme="minorHAnsi"/>
          <w:color w:val="000000"/>
          <w:sz w:val="19"/>
          <w:szCs w:val="19"/>
        </w:rPr>
        <w:t>.</w:t>
      </w:r>
    </w:p>
    <w:p w14:paraId="3D5E2530" w14:textId="77777777" w:rsidR="009D7064" w:rsidRPr="009D7064" w:rsidRDefault="009D7064" w:rsidP="00047D80">
      <w:pPr>
        <w:shd w:val="clear" w:color="auto" w:fill="FFFFFF"/>
        <w:spacing w:before="225" w:after="0" w:line="240" w:lineRule="auto"/>
        <w:jc w:val="both"/>
        <w:rPr>
          <w:rFonts w:eastAsia="Times New Roman" w:cstheme="minorHAnsi"/>
          <w:color w:val="000000"/>
          <w:sz w:val="19"/>
          <w:szCs w:val="19"/>
        </w:rPr>
      </w:pPr>
      <w:r w:rsidRPr="009D7064">
        <w:rPr>
          <w:rFonts w:eastAsia="Times New Roman" w:cstheme="minorHAnsi"/>
          <w:color w:val="000000"/>
          <w:sz w:val="19"/>
          <w:szCs w:val="19"/>
        </w:rPr>
        <w:t xml:space="preserve">Wage and price pressures are subdued and are expected to remain so for some years. The economy is still operating with </w:t>
      </w:r>
      <w:r w:rsidRPr="009D7064">
        <w:rPr>
          <w:rFonts w:eastAsia="Times New Roman" w:cstheme="minorHAnsi"/>
          <w:b/>
          <w:bCs/>
          <w:color w:val="000000"/>
          <w:sz w:val="19"/>
          <w:szCs w:val="19"/>
        </w:rPr>
        <w:t>considerable spare capacity</w:t>
      </w:r>
      <w:r w:rsidRPr="009D7064">
        <w:rPr>
          <w:rFonts w:eastAsia="Times New Roman" w:cstheme="minorHAnsi"/>
          <w:color w:val="000000"/>
          <w:sz w:val="19"/>
          <w:szCs w:val="19"/>
        </w:rPr>
        <w:t xml:space="preserve"> and the unemployment rate remains higher than it has been for some years. Further progress in reducing spare capacity is expected, but it will be some time before the labour market is </w:t>
      </w:r>
      <w:r w:rsidRPr="009D7064">
        <w:rPr>
          <w:rFonts w:eastAsia="Times New Roman" w:cstheme="minorHAnsi"/>
          <w:b/>
          <w:bCs/>
          <w:color w:val="000000"/>
          <w:sz w:val="19"/>
          <w:szCs w:val="19"/>
        </w:rPr>
        <w:t>tight enough to generate wage increases</w:t>
      </w:r>
      <w:r w:rsidRPr="009D7064">
        <w:rPr>
          <w:rFonts w:eastAsia="Times New Roman" w:cstheme="minorHAnsi"/>
          <w:color w:val="000000"/>
          <w:sz w:val="19"/>
          <w:szCs w:val="19"/>
        </w:rPr>
        <w:t xml:space="preserve"> that are consistent with achieving the inflation target. In the central scenario, the unemployment rate will still be around 6 per cent at the end of this year and 5½ per cent at the end of 2022. In </w:t>
      </w:r>
      <w:r w:rsidRPr="009D7064">
        <w:rPr>
          <w:rFonts w:eastAsia="Times New Roman" w:cstheme="minorHAnsi"/>
          <w:b/>
          <w:bCs/>
          <w:color w:val="000000"/>
          <w:sz w:val="19"/>
          <w:szCs w:val="19"/>
        </w:rPr>
        <w:t>underlying terms, inflation</w:t>
      </w:r>
      <w:r w:rsidRPr="009D7064">
        <w:rPr>
          <w:rFonts w:eastAsia="Times New Roman" w:cstheme="minorHAnsi"/>
          <w:color w:val="000000"/>
          <w:sz w:val="19"/>
          <w:szCs w:val="19"/>
        </w:rPr>
        <w:t xml:space="preserve"> is expected to be 1¼ per cent over 2021 and 1½ per cent over 2022. </w:t>
      </w:r>
      <w:r w:rsidRPr="009D7064">
        <w:rPr>
          <w:rFonts w:eastAsia="Times New Roman" w:cstheme="minorHAnsi"/>
          <w:b/>
          <w:bCs/>
          <w:color w:val="000000"/>
          <w:sz w:val="19"/>
          <w:szCs w:val="19"/>
        </w:rPr>
        <w:t>CPI inflation</w:t>
      </w:r>
      <w:r w:rsidRPr="009D7064">
        <w:rPr>
          <w:rFonts w:eastAsia="Times New Roman" w:cstheme="minorHAnsi"/>
          <w:color w:val="000000"/>
          <w:sz w:val="19"/>
          <w:szCs w:val="19"/>
        </w:rPr>
        <w:t xml:space="preserve"> is expected to rise temporarily because of the reversal of some COVID-19-related price reductions.</w:t>
      </w:r>
    </w:p>
    <w:p w14:paraId="5FC584F8" w14:textId="77777777" w:rsidR="009D7064" w:rsidRPr="009D7064" w:rsidRDefault="009D7064" w:rsidP="00047D80">
      <w:pPr>
        <w:shd w:val="clear" w:color="auto" w:fill="FFFFFF"/>
        <w:spacing w:before="225" w:after="0" w:line="240" w:lineRule="auto"/>
        <w:jc w:val="both"/>
        <w:rPr>
          <w:rFonts w:eastAsia="Times New Roman" w:cstheme="minorHAnsi"/>
          <w:color w:val="000000"/>
          <w:sz w:val="19"/>
          <w:szCs w:val="19"/>
        </w:rPr>
      </w:pPr>
      <w:r w:rsidRPr="009D7064">
        <w:rPr>
          <w:rFonts w:eastAsia="Times New Roman" w:cstheme="minorHAnsi"/>
          <w:color w:val="000000"/>
          <w:sz w:val="19"/>
          <w:szCs w:val="19"/>
        </w:rPr>
        <w:t xml:space="preserve">The </w:t>
      </w:r>
      <w:r w:rsidRPr="009D7064">
        <w:rPr>
          <w:rFonts w:eastAsia="Times New Roman" w:cstheme="minorHAnsi"/>
          <w:b/>
          <w:bCs/>
          <w:color w:val="000000"/>
          <w:sz w:val="19"/>
          <w:szCs w:val="19"/>
        </w:rPr>
        <w:t>current monetary policy settings are continuing to help the economy</w:t>
      </w:r>
      <w:r w:rsidRPr="009D7064">
        <w:rPr>
          <w:rFonts w:eastAsia="Times New Roman" w:cstheme="minorHAnsi"/>
          <w:color w:val="000000"/>
          <w:sz w:val="19"/>
          <w:szCs w:val="19"/>
        </w:rPr>
        <w:t xml:space="preserve"> by keeping financing costs </w:t>
      </w:r>
      <w:proofErr w:type="gramStart"/>
      <w:r w:rsidRPr="009D7064">
        <w:rPr>
          <w:rFonts w:eastAsia="Times New Roman" w:cstheme="minorHAnsi"/>
          <w:color w:val="000000"/>
          <w:sz w:val="19"/>
          <w:szCs w:val="19"/>
        </w:rPr>
        <w:t>very low</w:t>
      </w:r>
      <w:proofErr w:type="gramEnd"/>
      <w:r w:rsidRPr="009D7064">
        <w:rPr>
          <w:rFonts w:eastAsia="Times New Roman" w:cstheme="minorHAnsi"/>
          <w:color w:val="000000"/>
          <w:sz w:val="19"/>
          <w:szCs w:val="19"/>
        </w:rPr>
        <w:t xml:space="preserve">, contributing to a lower exchange rate than otherwise, and supporting the supply of credit and household and business balance sheets. Together, </w:t>
      </w:r>
      <w:proofErr w:type="gramStart"/>
      <w:r w:rsidRPr="009D7064">
        <w:rPr>
          <w:rFonts w:eastAsia="Times New Roman" w:cstheme="minorHAnsi"/>
          <w:color w:val="000000"/>
          <w:sz w:val="19"/>
          <w:szCs w:val="19"/>
        </w:rPr>
        <w:t>monetary</w:t>
      </w:r>
      <w:proofErr w:type="gramEnd"/>
      <w:r w:rsidRPr="009D7064">
        <w:rPr>
          <w:rFonts w:eastAsia="Times New Roman" w:cstheme="minorHAnsi"/>
          <w:color w:val="000000"/>
          <w:sz w:val="19"/>
          <w:szCs w:val="19"/>
        </w:rPr>
        <w:t xml:space="preserve"> and fiscal policy are supporting the recovery in aggregate demand and the pick-up in employment.</w:t>
      </w:r>
    </w:p>
    <w:p w14:paraId="24954493" w14:textId="77777777" w:rsidR="001624C0" w:rsidRDefault="009D7064" w:rsidP="00047D80">
      <w:pPr>
        <w:shd w:val="clear" w:color="auto" w:fill="FFFFFF"/>
        <w:spacing w:before="225" w:after="0" w:line="240" w:lineRule="auto"/>
        <w:jc w:val="both"/>
        <w:rPr>
          <w:rFonts w:eastAsia="Times New Roman" w:cstheme="minorHAnsi"/>
          <w:color w:val="000000"/>
          <w:sz w:val="19"/>
          <w:szCs w:val="19"/>
        </w:rPr>
      </w:pPr>
      <w:r w:rsidRPr="009D7064">
        <w:rPr>
          <w:rFonts w:eastAsia="Times New Roman" w:cstheme="minorHAnsi"/>
          <w:b/>
          <w:bCs/>
          <w:color w:val="000000"/>
          <w:sz w:val="19"/>
          <w:szCs w:val="19"/>
        </w:rPr>
        <w:t>Lending rates for most borrowers are at record lows and housing prices across Australia have increased recently.</w:t>
      </w:r>
      <w:r w:rsidRPr="009D7064">
        <w:rPr>
          <w:rFonts w:eastAsia="Times New Roman" w:cstheme="minorHAnsi"/>
          <w:color w:val="000000"/>
          <w:sz w:val="19"/>
          <w:szCs w:val="19"/>
        </w:rPr>
        <w:t xml:space="preserve"> Housing credit growth to owner-occupiers has picked up, but investor and business credit growth remain weak. </w:t>
      </w:r>
    </w:p>
    <w:p w14:paraId="7DAA74F0" w14:textId="33F3A1DC" w:rsidR="009D7064" w:rsidRDefault="001624C0" w:rsidP="00047D80">
      <w:pPr>
        <w:shd w:val="clear" w:color="auto" w:fill="FFFFFF"/>
        <w:spacing w:before="225" w:after="0" w:line="240" w:lineRule="auto"/>
        <w:jc w:val="both"/>
        <w:rPr>
          <w:rFonts w:eastAsia="Times New Roman" w:cstheme="minorHAnsi"/>
          <w:color w:val="000000"/>
          <w:sz w:val="19"/>
          <w:szCs w:val="19"/>
        </w:rPr>
      </w:pPr>
      <w:r>
        <w:rPr>
          <w:rFonts w:eastAsia="Times New Roman" w:cstheme="minorHAnsi"/>
          <w:color w:val="000000"/>
          <w:sz w:val="19"/>
          <w:szCs w:val="19"/>
        </w:rPr>
        <w:t xml:space="preserve"> </w:t>
      </w:r>
      <w:r w:rsidR="00047D80" w:rsidRPr="00047D80">
        <w:rPr>
          <w:rFonts w:eastAsia="Times New Roman" w:cstheme="minorHAnsi"/>
          <w:color w:val="000000"/>
          <w:sz w:val="19"/>
          <w:szCs w:val="19"/>
        </w:rPr>
        <w:t>…</w:t>
      </w:r>
      <w:r w:rsidR="009D7064" w:rsidRPr="009D7064">
        <w:rPr>
          <w:rFonts w:eastAsia="Times New Roman" w:cstheme="minorHAnsi"/>
          <w:color w:val="000000"/>
          <w:sz w:val="19"/>
          <w:szCs w:val="19"/>
        </w:rPr>
        <w:t xml:space="preserve">The Board remains committed to maintaining highly supportive monetary conditions until its goals are achieved. The </w:t>
      </w:r>
      <w:r w:rsidR="009D7064" w:rsidRPr="009D7064">
        <w:rPr>
          <w:rFonts w:eastAsia="Times New Roman" w:cstheme="minorHAnsi"/>
          <w:b/>
          <w:bCs/>
          <w:color w:val="000000"/>
          <w:sz w:val="19"/>
          <w:szCs w:val="19"/>
        </w:rPr>
        <w:t>Board will not increase the cash rate until actual inflation is sustainably within the 2 to 3 per cent target range</w:t>
      </w:r>
      <w:r w:rsidR="009D7064" w:rsidRPr="009D7064">
        <w:rPr>
          <w:rFonts w:eastAsia="Times New Roman" w:cstheme="minorHAnsi"/>
          <w:color w:val="000000"/>
          <w:sz w:val="19"/>
          <w:szCs w:val="19"/>
        </w:rPr>
        <w:t>. For this to occur, wages growth will have to be materially higher than it is currently. This will require significant gains in employment and a return to a tight labour market. The Board does not expect these conditions to be met until 2024 at the earliest.</w:t>
      </w:r>
    </w:p>
    <w:p w14:paraId="750C9C8F" w14:textId="77777777" w:rsidR="001624C0" w:rsidRDefault="001624C0" w:rsidP="001624C0">
      <w:pPr>
        <w:pStyle w:val="NoSpacing"/>
      </w:pPr>
    </w:p>
    <w:p w14:paraId="192C7748" w14:textId="189295D1" w:rsidR="009D7064" w:rsidRPr="00047D80" w:rsidRDefault="009D7064" w:rsidP="00047D80">
      <w:pPr>
        <w:pStyle w:val="NoSpacing"/>
        <w:jc w:val="both"/>
        <w:rPr>
          <w:b/>
          <w:bCs/>
          <w:sz w:val="19"/>
          <w:szCs w:val="19"/>
        </w:rPr>
      </w:pPr>
      <w:r w:rsidRPr="00047D80">
        <w:rPr>
          <w:b/>
          <w:bCs/>
          <w:sz w:val="19"/>
          <w:szCs w:val="19"/>
        </w:rPr>
        <w:t>Questions</w:t>
      </w:r>
    </w:p>
    <w:p w14:paraId="4A8A27AD" w14:textId="2BC80BEA" w:rsidR="009D7064" w:rsidRPr="001624C0" w:rsidRDefault="009D7064" w:rsidP="00047D80">
      <w:pPr>
        <w:pStyle w:val="NoSpacing"/>
        <w:numPr>
          <w:ilvl w:val="0"/>
          <w:numId w:val="1"/>
        </w:numPr>
        <w:jc w:val="both"/>
        <w:rPr>
          <w:b/>
          <w:bCs/>
          <w:sz w:val="19"/>
          <w:szCs w:val="19"/>
        </w:rPr>
      </w:pPr>
      <w:r w:rsidRPr="001624C0">
        <w:rPr>
          <w:b/>
          <w:bCs/>
          <w:sz w:val="19"/>
          <w:szCs w:val="19"/>
        </w:rPr>
        <w:t>Explain why the ‘</w:t>
      </w:r>
      <w:r w:rsidRPr="001624C0">
        <w:rPr>
          <w:b/>
          <w:bCs/>
          <w:sz w:val="19"/>
          <w:szCs w:val="19"/>
        </w:rPr>
        <w:t>ongoing rollout of vaccines</w:t>
      </w:r>
      <w:r w:rsidRPr="001624C0">
        <w:rPr>
          <w:b/>
          <w:bCs/>
          <w:sz w:val="19"/>
          <w:szCs w:val="19"/>
        </w:rPr>
        <w:t>’ is expected to assist with the global economic recovery.</w:t>
      </w:r>
    </w:p>
    <w:p w14:paraId="347DE5F4" w14:textId="1ED0E008" w:rsidR="009D7064" w:rsidRPr="001624C0" w:rsidRDefault="009D7064" w:rsidP="00047D80">
      <w:pPr>
        <w:pStyle w:val="NoSpacing"/>
        <w:numPr>
          <w:ilvl w:val="0"/>
          <w:numId w:val="1"/>
        </w:numPr>
        <w:jc w:val="both"/>
        <w:rPr>
          <w:b/>
          <w:bCs/>
          <w:sz w:val="19"/>
          <w:szCs w:val="19"/>
        </w:rPr>
      </w:pPr>
      <w:r w:rsidRPr="001624C0">
        <w:rPr>
          <w:b/>
          <w:bCs/>
          <w:sz w:val="19"/>
          <w:szCs w:val="19"/>
        </w:rPr>
        <w:t>Briefly outline what is meant by ‘</w:t>
      </w:r>
      <w:r w:rsidRPr="001624C0">
        <w:rPr>
          <w:b/>
          <w:bCs/>
          <w:sz w:val="19"/>
          <w:szCs w:val="19"/>
        </w:rPr>
        <w:t>fiscal and monetary support</w:t>
      </w:r>
      <w:r w:rsidRPr="001624C0">
        <w:rPr>
          <w:b/>
          <w:bCs/>
          <w:sz w:val="19"/>
          <w:szCs w:val="19"/>
        </w:rPr>
        <w:t>’, providing an example of each in the context of the Australian economy over the past year.</w:t>
      </w:r>
    </w:p>
    <w:p w14:paraId="4E2F670D" w14:textId="5E796043" w:rsidR="009D7064" w:rsidRPr="001624C0" w:rsidRDefault="009D7064" w:rsidP="00047D80">
      <w:pPr>
        <w:pStyle w:val="NoSpacing"/>
        <w:numPr>
          <w:ilvl w:val="0"/>
          <w:numId w:val="1"/>
        </w:numPr>
        <w:jc w:val="both"/>
        <w:rPr>
          <w:b/>
          <w:bCs/>
          <w:sz w:val="19"/>
          <w:szCs w:val="19"/>
        </w:rPr>
      </w:pPr>
      <w:r w:rsidRPr="001624C0">
        <w:rPr>
          <w:b/>
          <w:bCs/>
          <w:sz w:val="19"/>
          <w:szCs w:val="19"/>
        </w:rPr>
        <w:t>Explain why inflation is expected to increase over the medium term and discuss the implications for price stability.</w:t>
      </w:r>
    </w:p>
    <w:p w14:paraId="716EE1C6" w14:textId="4F2890DB" w:rsidR="009D7064" w:rsidRPr="001624C0" w:rsidRDefault="009D7064" w:rsidP="00047D80">
      <w:pPr>
        <w:pStyle w:val="NoSpacing"/>
        <w:numPr>
          <w:ilvl w:val="0"/>
          <w:numId w:val="1"/>
        </w:numPr>
        <w:jc w:val="both"/>
        <w:rPr>
          <w:b/>
          <w:bCs/>
          <w:sz w:val="19"/>
          <w:szCs w:val="19"/>
        </w:rPr>
      </w:pPr>
      <w:r w:rsidRPr="001624C0">
        <w:rPr>
          <w:b/>
          <w:bCs/>
          <w:sz w:val="19"/>
          <w:szCs w:val="19"/>
        </w:rPr>
        <w:t>Outline one likely factor that accounts for the stronger AUD in early 2021.</w:t>
      </w:r>
    </w:p>
    <w:p w14:paraId="6249F1CE" w14:textId="18109ECD" w:rsidR="009D7064" w:rsidRPr="001624C0" w:rsidRDefault="009D7064" w:rsidP="00047D80">
      <w:pPr>
        <w:pStyle w:val="NoSpacing"/>
        <w:numPr>
          <w:ilvl w:val="0"/>
          <w:numId w:val="1"/>
        </w:numPr>
        <w:jc w:val="both"/>
        <w:rPr>
          <w:b/>
          <w:bCs/>
          <w:sz w:val="19"/>
          <w:szCs w:val="19"/>
        </w:rPr>
      </w:pPr>
      <w:r w:rsidRPr="001624C0">
        <w:rPr>
          <w:b/>
          <w:bCs/>
          <w:sz w:val="19"/>
          <w:szCs w:val="19"/>
          <w:lang w:val="en-AU"/>
        </w:rPr>
        <w:t>Describe the relationship between employment and the unemployment rate.  In your answer, discuss the possibility of a simultaneous increase in employment and the unemployment rate.</w:t>
      </w:r>
    </w:p>
    <w:p w14:paraId="50A8ECD9" w14:textId="3AFDEA49" w:rsidR="009D7064" w:rsidRPr="001624C0" w:rsidRDefault="009D7064" w:rsidP="00047D80">
      <w:pPr>
        <w:pStyle w:val="NoSpacing"/>
        <w:numPr>
          <w:ilvl w:val="0"/>
          <w:numId w:val="1"/>
        </w:numPr>
        <w:jc w:val="both"/>
        <w:rPr>
          <w:b/>
          <w:bCs/>
          <w:sz w:val="19"/>
          <w:szCs w:val="19"/>
        </w:rPr>
      </w:pPr>
      <w:r w:rsidRPr="001624C0">
        <w:rPr>
          <w:b/>
          <w:bCs/>
          <w:sz w:val="19"/>
          <w:szCs w:val="19"/>
        </w:rPr>
        <w:t>Identify the expected rate of economic growth for Australia over 2021 and explain whether this is consistent with the goal of strong and sustainable economic growth.</w:t>
      </w:r>
    </w:p>
    <w:p w14:paraId="3A11B641" w14:textId="59ED1133" w:rsidR="009D7064" w:rsidRPr="001624C0" w:rsidRDefault="009D7064" w:rsidP="00047D80">
      <w:pPr>
        <w:pStyle w:val="NoSpacing"/>
        <w:numPr>
          <w:ilvl w:val="0"/>
          <w:numId w:val="1"/>
        </w:numPr>
        <w:jc w:val="both"/>
        <w:rPr>
          <w:b/>
          <w:bCs/>
          <w:sz w:val="19"/>
          <w:szCs w:val="19"/>
        </w:rPr>
      </w:pPr>
      <w:r w:rsidRPr="001624C0">
        <w:rPr>
          <w:b/>
          <w:bCs/>
          <w:sz w:val="19"/>
          <w:szCs w:val="19"/>
        </w:rPr>
        <w:t>The Australian economy has grown by more than 3% since the middle of 2020.  Analyse whether this means that the size of the economy (</w:t>
      </w:r>
      <w:proofErr w:type="gramStart"/>
      <w:r w:rsidRPr="001624C0">
        <w:rPr>
          <w:b/>
          <w:bCs/>
          <w:sz w:val="19"/>
          <w:szCs w:val="19"/>
        </w:rPr>
        <w:t>i.e.</w:t>
      </w:r>
      <w:proofErr w:type="gramEnd"/>
      <w:r w:rsidRPr="001624C0">
        <w:rPr>
          <w:b/>
          <w:bCs/>
          <w:sz w:val="19"/>
          <w:szCs w:val="19"/>
        </w:rPr>
        <w:t xml:space="preserve"> the level of real GDP) is larger at the start of 2021 than it was in the middle of 2020.</w:t>
      </w:r>
    </w:p>
    <w:p w14:paraId="76B9CA62" w14:textId="5FC5242D" w:rsidR="009D7064" w:rsidRPr="001624C0" w:rsidRDefault="009D7064" w:rsidP="00047D80">
      <w:pPr>
        <w:pStyle w:val="NoSpacing"/>
        <w:numPr>
          <w:ilvl w:val="0"/>
          <w:numId w:val="1"/>
        </w:numPr>
        <w:jc w:val="both"/>
        <w:rPr>
          <w:b/>
          <w:bCs/>
          <w:sz w:val="19"/>
          <w:szCs w:val="19"/>
        </w:rPr>
      </w:pPr>
      <w:r w:rsidRPr="001624C0">
        <w:rPr>
          <w:b/>
          <w:bCs/>
          <w:sz w:val="19"/>
          <w:szCs w:val="19"/>
        </w:rPr>
        <w:t>Explain what is meant by spare capacity in labour markets and provide two indicators that might suggest that there is considerable spare capacity in the economy.</w:t>
      </w:r>
    </w:p>
    <w:p w14:paraId="2909C032" w14:textId="4CBEF0A1" w:rsidR="009D7064" w:rsidRPr="001624C0" w:rsidRDefault="009D7064" w:rsidP="00047D80">
      <w:pPr>
        <w:pStyle w:val="NoSpacing"/>
        <w:numPr>
          <w:ilvl w:val="0"/>
          <w:numId w:val="1"/>
        </w:numPr>
        <w:jc w:val="both"/>
        <w:rPr>
          <w:b/>
          <w:bCs/>
          <w:sz w:val="19"/>
          <w:szCs w:val="19"/>
        </w:rPr>
      </w:pPr>
      <w:r w:rsidRPr="001624C0">
        <w:rPr>
          <w:b/>
          <w:bCs/>
          <w:sz w:val="19"/>
          <w:szCs w:val="19"/>
        </w:rPr>
        <w:t>Explain how a ‘tight labour market’</w:t>
      </w:r>
      <w:r w:rsidR="00047D80" w:rsidRPr="001624C0">
        <w:rPr>
          <w:b/>
          <w:bCs/>
          <w:sz w:val="19"/>
          <w:szCs w:val="19"/>
        </w:rPr>
        <w:t xml:space="preserve"> influences wages growth.</w:t>
      </w:r>
    </w:p>
    <w:p w14:paraId="542228C1" w14:textId="38728208" w:rsidR="00047D80" w:rsidRPr="001624C0" w:rsidRDefault="00047D80" w:rsidP="00047D80">
      <w:pPr>
        <w:pStyle w:val="NoSpacing"/>
        <w:numPr>
          <w:ilvl w:val="0"/>
          <w:numId w:val="1"/>
        </w:numPr>
        <w:jc w:val="both"/>
        <w:rPr>
          <w:b/>
          <w:bCs/>
          <w:sz w:val="19"/>
          <w:szCs w:val="19"/>
        </w:rPr>
      </w:pPr>
      <w:r w:rsidRPr="001624C0">
        <w:rPr>
          <w:b/>
          <w:bCs/>
          <w:sz w:val="19"/>
          <w:szCs w:val="19"/>
        </w:rPr>
        <w:t xml:space="preserve">Distinguish underlying inflation from CPI inflation and explain why CPI inflation is expected to be higher than underlying inflation in the short term. </w:t>
      </w:r>
    </w:p>
    <w:p w14:paraId="285B57D2" w14:textId="09DCDEF4" w:rsidR="009D7064" w:rsidRPr="001624C0" w:rsidRDefault="00047D80" w:rsidP="00047D80">
      <w:pPr>
        <w:pStyle w:val="NoSpacing"/>
        <w:numPr>
          <w:ilvl w:val="0"/>
          <w:numId w:val="1"/>
        </w:numPr>
        <w:jc w:val="both"/>
        <w:rPr>
          <w:b/>
          <w:bCs/>
          <w:sz w:val="19"/>
          <w:szCs w:val="19"/>
        </w:rPr>
      </w:pPr>
      <w:r w:rsidRPr="001624C0">
        <w:rPr>
          <w:b/>
          <w:bCs/>
          <w:sz w:val="19"/>
          <w:szCs w:val="19"/>
        </w:rPr>
        <w:t>Explain how the current monetary policy settings (</w:t>
      </w:r>
      <w:proofErr w:type="gramStart"/>
      <w:r w:rsidRPr="001624C0">
        <w:rPr>
          <w:b/>
          <w:bCs/>
          <w:sz w:val="19"/>
          <w:szCs w:val="19"/>
        </w:rPr>
        <w:t>i.e.</w:t>
      </w:r>
      <w:proofErr w:type="gramEnd"/>
      <w:r w:rsidRPr="001624C0">
        <w:rPr>
          <w:b/>
          <w:bCs/>
          <w:sz w:val="19"/>
          <w:szCs w:val="19"/>
        </w:rPr>
        <w:t xml:space="preserve"> effectively the maintenance of low interest rates) are helping to stimulate and assist with the achievement of full employment.</w:t>
      </w:r>
    </w:p>
    <w:p w14:paraId="7961E5FE" w14:textId="5C9A7C9E" w:rsidR="00047D80" w:rsidRPr="001624C0" w:rsidRDefault="00047D80" w:rsidP="00047D80">
      <w:pPr>
        <w:pStyle w:val="NoSpacing"/>
        <w:numPr>
          <w:ilvl w:val="0"/>
          <w:numId w:val="1"/>
        </w:numPr>
        <w:jc w:val="both"/>
        <w:rPr>
          <w:b/>
          <w:bCs/>
          <w:sz w:val="19"/>
          <w:szCs w:val="19"/>
        </w:rPr>
      </w:pPr>
      <w:r w:rsidRPr="001624C0">
        <w:rPr>
          <w:b/>
          <w:bCs/>
          <w:sz w:val="19"/>
          <w:szCs w:val="19"/>
        </w:rPr>
        <w:t>Describe the relationship between lending rates and housing prices.</w:t>
      </w:r>
    </w:p>
    <w:p w14:paraId="611378DC" w14:textId="7C62022F" w:rsidR="009D7064" w:rsidRPr="001624C0" w:rsidRDefault="00047D80" w:rsidP="00047D80">
      <w:pPr>
        <w:pStyle w:val="NoSpacing"/>
        <w:numPr>
          <w:ilvl w:val="0"/>
          <w:numId w:val="1"/>
        </w:numPr>
        <w:jc w:val="both"/>
        <w:rPr>
          <w:b/>
          <w:bCs/>
          <w:sz w:val="19"/>
          <w:szCs w:val="19"/>
        </w:rPr>
      </w:pPr>
      <w:r w:rsidRPr="001624C0">
        <w:rPr>
          <w:b/>
          <w:bCs/>
          <w:sz w:val="19"/>
          <w:szCs w:val="19"/>
        </w:rPr>
        <w:t>Describe the conditions that would need to exist before the RBA seeks to raise interest rates.</w:t>
      </w:r>
    </w:p>
    <w:sectPr w:rsidR="009D7064" w:rsidRPr="001624C0" w:rsidSect="009D70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0F6947"/>
    <w:multiLevelType w:val="hybridMultilevel"/>
    <w:tmpl w:val="43962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064"/>
    <w:rsid w:val="00047D80"/>
    <w:rsid w:val="001624C0"/>
    <w:rsid w:val="00262E80"/>
    <w:rsid w:val="009D7064"/>
    <w:rsid w:val="00BB105F"/>
    <w:rsid w:val="00C22C2B"/>
    <w:rsid w:val="00CA6448"/>
    <w:rsid w:val="00CF4F9C"/>
    <w:rsid w:val="00F2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FD69"/>
  <w15:chartTrackingRefBased/>
  <w15:docId w15:val="{F1BE287D-B89D-4733-8142-BCC6F3C6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7064"/>
    <w:pPr>
      <w:spacing w:after="0" w:line="240" w:lineRule="auto"/>
    </w:pPr>
  </w:style>
  <w:style w:type="character" w:styleId="Hyperlink">
    <w:name w:val="Hyperlink"/>
    <w:basedOn w:val="DefaultParagraphFont"/>
    <w:uiPriority w:val="99"/>
    <w:unhideWhenUsed/>
    <w:rsid w:val="001624C0"/>
    <w:rPr>
      <w:color w:val="0563C1" w:themeColor="hyperlink"/>
      <w:u w:val="single"/>
    </w:rPr>
  </w:style>
  <w:style w:type="character" w:styleId="UnresolvedMention">
    <w:name w:val="Unresolved Mention"/>
    <w:basedOn w:val="DefaultParagraphFont"/>
    <w:uiPriority w:val="99"/>
    <w:semiHidden/>
    <w:unhideWhenUsed/>
    <w:rsid w:val="00162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17109">
      <w:bodyDiv w:val="1"/>
      <w:marLeft w:val="0"/>
      <w:marRight w:val="0"/>
      <w:marTop w:val="0"/>
      <w:marBottom w:val="0"/>
      <w:divBdr>
        <w:top w:val="none" w:sz="0" w:space="0" w:color="auto"/>
        <w:left w:val="none" w:sz="0" w:space="0" w:color="auto"/>
        <w:bottom w:val="none" w:sz="0" w:space="0" w:color="auto"/>
        <w:right w:val="none" w:sz="0" w:space="0" w:color="auto"/>
      </w:divBdr>
      <w:divsChild>
        <w:div w:id="170534388">
          <w:marLeft w:val="0"/>
          <w:marRight w:val="0"/>
          <w:marTop w:val="225"/>
          <w:marBottom w:val="450"/>
          <w:divBdr>
            <w:top w:val="none" w:sz="0" w:space="8" w:color="F3F6FF"/>
            <w:left w:val="none" w:sz="0" w:space="11" w:color="F3F6FF"/>
            <w:bottom w:val="none" w:sz="0" w:space="8" w:color="F3F6FF"/>
            <w:right w:val="none" w:sz="0" w:space="11" w:color="F3F6FF"/>
          </w:divBdr>
          <w:divsChild>
            <w:div w:id="1844659798">
              <w:marLeft w:val="0"/>
              <w:marRight w:val="0"/>
              <w:marTop w:val="0"/>
              <w:marBottom w:val="0"/>
              <w:divBdr>
                <w:top w:val="none" w:sz="0" w:space="0" w:color="auto"/>
                <w:left w:val="none" w:sz="0" w:space="0" w:color="auto"/>
                <w:bottom w:val="none" w:sz="0" w:space="0" w:color="auto"/>
                <w:right w:val="none" w:sz="0" w:space="0" w:color="auto"/>
              </w:divBdr>
            </w:div>
            <w:div w:id="2081440252">
              <w:marLeft w:val="0"/>
              <w:marRight w:val="0"/>
              <w:marTop w:val="75"/>
              <w:marBottom w:val="0"/>
              <w:divBdr>
                <w:top w:val="none" w:sz="0" w:space="0" w:color="auto"/>
                <w:left w:val="none" w:sz="0" w:space="0" w:color="auto"/>
                <w:bottom w:val="none" w:sz="0" w:space="0" w:color="auto"/>
                <w:right w:val="none" w:sz="0" w:space="0" w:color="auto"/>
              </w:divBdr>
            </w:div>
          </w:divsChild>
        </w:div>
        <w:div w:id="186993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ba.gov.au/media-releases/2021/mr-21-0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Romeo Salla</dc:creator>
  <cp:keywords/>
  <dc:description/>
  <cp:lastModifiedBy>Romeo Salla</cp:lastModifiedBy>
  <cp:revision>2</cp:revision>
  <dcterms:created xsi:type="dcterms:W3CDTF">2021-03-02T22:44:00Z</dcterms:created>
  <dcterms:modified xsi:type="dcterms:W3CDTF">2021-03-03T00:07:00Z</dcterms:modified>
</cp:coreProperties>
</file>